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8</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color w:val="000000"/>
          <w:sz w:val="44"/>
          <w:szCs w:val="44"/>
          <w:lang w:bidi="ar-SA"/>
        </w:rPr>
        <w:t>铜川永红煤业有限责任公司</w:t>
      </w:r>
      <w:r>
        <w:rPr>
          <w:rFonts w:hint="eastAsia" w:ascii="方正小标宋简体" w:hAnsi="方正小标宋简体" w:eastAsia="方正小标宋简体" w:cs="方正小标宋简体"/>
          <w:sz w:val="44"/>
          <w:szCs w:val="44"/>
          <w:lang w:val="en-US" w:eastAsia="zh-CN" w:bidi="ar-SA"/>
        </w:rPr>
        <w:t>安全生产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outlineLvl w:val="9"/>
        <w:rPr>
          <w:rFonts w:hint="default"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sz w:val="44"/>
          <w:szCs w:val="44"/>
          <w:lang w:val="en-US" w:eastAsia="zh-CN" w:bidi="ar-SA"/>
        </w:rPr>
        <w:t>违法违规行为行政处罚信息表</w:t>
      </w:r>
    </w:p>
    <w:tbl>
      <w:tblPr>
        <w:tblStyle w:val="4"/>
        <w:tblW w:w="0" w:type="auto"/>
        <w:jc w:val="center"/>
        <w:tblLayout w:type="fixed"/>
        <w:tblCellMar>
          <w:top w:w="0" w:type="dxa"/>
          <w:left w:w="0" w:type="dxa"/>
          <w:bottom w:w="0" w:type="dxa"/>
          <w:right w:w="0" w:type="dxa"/>
        </w:tblCellMar>
      </w:tblPr>
      <w:tblGrid>
        <w:gridCol w:w="545"/>
        <w:gridCol w:w="2750"/>
        <w:gridCol w:w="6337"/>
      </w:tblGrid>
      <w:tr>
        <w:tblPrEx>
          <w:tblCellMar>
            <w:top w:w="0" w:type="dxa"/>
            <w:left w:w="0" w:type="dxa"/>
            <w:bottom w:w="0" w:type="dxa"/>
            <w:right w:w="0" w:type="dxa"/>
          </w:tblCellMar>
        </w:tblPrEx>
        <w:trPr>
          <w:trHeight w:val="465" w:hRule="atLeast"/>
          <w:jc w:val="center"/>
        </w:trPr>
        <w:tc>
          <w:tcPr>
            <w:tcW w:w="545" w:type="dxa"/>
            <w:tcBorders>
              <w:top w:val="single" w:color="333333" w:sz="6"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黑体" w:hAnsi="黑体" w:eastAsia="黑体" w:cs="黑体"/>
                <w:bCs/>
                <w:color w:val="000000"/>
                <w:szCs w:val="24"/>
              </w:rPr>
            </w:pPr>
            <w:r>
              <w:rPr>
                <w:rStyle w:val="6"/>
                <w:rFonts w:hint="eastAsia" w:ascii="黑体" w:hAnsi="黑体" w:eastAsia="黑体" w:cs="黑体"/>
                <w:b w:val="0"/>
                <w:bCs/>
                <w:color w:val="000000"/>
                <w:szCs w:val="24"/>
              </w:rPr>
              <w:t>序号</w:t>
            </w:r>
          </w:p>
        </w:tc>
        <w:tc>
          <w:tcPr>
            <w:tcW w:w="2750" w:type="dxa"/>
            <w:tcBorders>
              <w:top w:val="single" w:color="333333" w:sz="6"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黑体" w:hAnsi="黑体" w:eastAsia="黑体" w:cs="黑体"/>
                <w:bCs/>
                <w:color w:val="000000"/>
                <w:szCs w:val="24"/>
              </w:rPr>
            </w:pPr>
            <w:r>
              <w:rPr>
                <w:rStyle w:val="6"/>
                <w:rFonts w:hint="eastAsia" w:ascii="黑体" w:hAnsi="黑体" w:eastAsia="黑体" w:cs="黑体"/>
                <w:b w:val="0"/>
                <w:bCs/>
                <w:color w:val="000000"/>
                <w:szCs w:val="24"/>
              </w:rPr>
              <w:t>要素</w:t>
            </w:r>
          </w:p>
        </w:tc>
        <w:tc>
          <w:tcPr>
            <w:tcW w:w="6337" w:type="dxa"/>
            <w:tcBorders>
              <w:top w:val="single" w:color="333333" w:sz="6" w:space="0"/>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黑体" w:hAnsi="黑体" w:eastAsia="黑体" w:cs="黑体"/>
                <w:bCs/>
                <w:color w:val="000000"/>
                <w:szCs w:val="24"/>
              </w:rPr>
            </w:pPr>
            <w:r>
              <w:rPr>
                <w:rStyle w:val="6"/>
                <w:rFonts w:hint="eastAsia" w:ascii="黑体" w:hAnsi="黑体" w:eastAsia="黑体" w:cs="黑体"/>
                <w:b w:val="0"/>
                <w:bCs/>
                <w:color w:val="000000"/>
                <w:szCs w:val="24"/>
              </w:rPr>
              <w:t>内容</w:t>
            </w:r>
          </w:p>
        </w:tc>
      </w:tr>
      <w:tr>
        <w:tblPrEx>
          <w:tblCellMar>
            <w:top w:w="0" w:type="dxa"/>
            <w:left w:w="0" w:type="dxa"/>
            <w:bottom w:w="0" w:type="dxa"/>
            <w:right w:w="0" w:type="dxa"/>
          </w:tblCellMar>
        </w:tblPrEx>
        <w:trPr>
          <w:trHeight w:val="301" w:hRule="atLeast"/>
          <w:jc w:val="center"/>
        </w:trPr>
        <w:tc>
          <w:tcPr>
            <w:tcW w:w="545" w:type="dxa"/>
            <w:tcBorders>
              <w:top w:val="nil"/>
              <w:left w:val="single" w:color="333333" w:sz="6" w:space="0"/>
              <w:bottom w:val="single" w:color="auto"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1</w:t>
            </w:r>
          </w:p>
        </w:tc>
        <w:tc>
          <w:tcPr>
            <w:tcW w:w="2750" w:type="dxa"/>
            <w:tcBorders>
              <w:top w:val="nil"/>
              <w:left w:val="nil"/>
              <w:bottom w:val="single" w:color="auto"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案由</w:t>
            </w:r>
          </w:p>
        </w:tc>
        <w:tc>
          <w:tcPr>
            <w:tcW w:w="6337" w:type="dxa"/>
            <w:tcBorders>
              <w:top w:val="nil"/>
              <w:left w:val="nil"/>
              <w:bottom w:val="single" w:color="auto"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rPr>
                <w:rFonts w:ascii="仿宋" w:hAnsi="仿宋" w:eastAsia="仿宋" w:cs="仿宋"/>
                <w:color w:val="000000"/>
                <w:szCs w:val="24"/>
              </w:rPr>
            </w:pPr>
            <w:r>
              <w:rPr>
                <w:rFonts w:hint="eastAsia" w:ascii="仿宋" w:hAnsi="仿宋" w:eastAsia="仿宋" w:cs="仿宋"/>
                <w:color w:val="000000"/>
                <w:szCs w:val="24"/>
              </w:rPr>
              <w:t>铜川永红煤业有限责任公司</w:t>
            </w:r>
            <w:r>
              <w:rPr>
                <w:rFonts w:hint="eastAsia" w:ascii="仿宋" w:hAnsi="仿宋" w:eastAsia="仿宋" w:cs="仿宋"/>
                <w:color w:val="000000"/>
                <w:szCs w:val="24"/>
                <w:lang w:eastAsia="zh-CN"/>
              </w:rPr>
              <w:t>未按规定安设安全设施等</w:t>
            </w:r>
            <w:r>
              <w:rPr>
                <w:rFonts w:hint="eastAsia" w:ascii="仿宋" w:hAnsi="仿宋" w:eastAsia="仿宋" w:cs="仿宋"/>
                <w:color w:val="000000"/>
                <w:szCs w:val="24"/>
              </w:rPr>
              <w:t>违法违规案。</w:t>
            </w:r>
          </w:p>
        </w:tc>
      </w:tr>
      <w:tr>
        <w:tblPrEx>
          <w:tblCellMar>
            <w:top w:w="0" w:type="dxa"/>
            <w:left w:w="0" w:type="dxa"/>
            <w:bottom w:w="0" w:type="dxa"/>
            <w:right w:w="0" w:type="dxa"/>
          </w:tblCellMar>
        </w:tblPrEx>
        <w:trPr>
          <w:trHeight w:val="34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2</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案件名称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rPr>
                <w:rFonts w:ascii="仿宋" w:hAnsi="仿宋" w:eastAsia="仿宋" w:cs="仿宋"/>
                <w:color w:val="000000"/>
                <w:szCs w:val="24"/>
              </w:rPr>
            </w:pPr>
            <w:r>
              <w:rPr>
                <w:rFonts w:hint="eastAsia" w:ascii="仿宋" w:hAnsi="仿宋" w:eastAsia="仿宋" w:cs="仿宋"/>
                <w:color w:val="000000"/>
                <w:szCs w:val="24"/>
              </w:rPr>
              <w:t>铜川永红煤业有限责任公司</w:t>
            </w:r>
            <w:r>
              <w:rPr>
                <w:rFonts w:hint="eastAsia" w:ascii="仿宋" w:hAnsi="仿宋" w:eastAsia="仿宋" w:cs="仿宋"/>
                <w:color w:val="000000"/>
                <w:szCs w:val="24"/>
                <w:lang w:eastAsia="zh-CN"/>
              </w:rPr>
              <w:t>未按规定安设安全设施等</w:t>
            </w:r>
            <w:r>
              <w:rPr>
                <w:rFonts w:hint="eastAsia" w:ascii="仿宋" w:hAnsi="仿宋" w:eastAsia="仿宋" w:cs="仿宋"/>
                <w:color w:val="000000"/>
                <w:szCs w:val="24"/>
              </w:rPr>
              <w:t>违法违规案。</w:t>
            </w:r>
          </w:p>
        </w:tc>
      </w:tr>
      <w:tr>
        <w:tblPrEx>
          <w:tblCellMar>
            <w:top w:w="0" w:type="dxa"/>
            <w:left w:w="0" w:type="dxa"/>
            <w:bottom w:w="0" w:type="dxa"/>
            <w:right w:w="0" w:type="dxa"/>
          </w:tblCellMar>
        </w:tblPrEx>
        <w:trPr>
          <w:trHeight w:val="32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3</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做出处罚决定机关名称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陕西省应急管理厅</w:t>
            </w:r>
          </w:p>
        </w:tc>
      </w:tr>
      <w:tr>
        <w:tblPrEx>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4</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处罚决定书文号</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陕（应急）煤安罚〔202</w:t>
            </w:r>
            <w:r>
              <w:rPr>
                <w:rFonts w:ascii="仿宋" w:hAnsi="仿宋" w:eastAsia="仿宋" w:cs="仿宋"/>
                <w:color w:val="000000"/>
                <w:szCs w:val="24"/>
              </w:rPr>
              <w:t>3</w:t>
            </w:r>
            <w:r>
              <w:rPr>
                <w:rFonts w:hint="eastAsia" w:ascii="仿宋" w:hAnsi="仿宋" w:eastAsia="仿宋" w:cs="仿宋"/>
                <w:color w:val="000000"/>
                <w:szCs w:val="24"/>
              </w:rPr>
              <w:t>〕</w:t>
            </w:r>
            <w:r>
              <w:rPr>
                <w:rFonts w:ascii="仿宋" w:hAnsi="仿宋" w:eastAsia="仿宋" w:cs="仿宋"/>
                <w:color w:val="000000"/>
                <w:szCs w:val="24"/>
              </w:rPr>
              <w:t>21</w:t>
            </w:r>
            <w:r>
              <w:rPr>
                <w:rFonts w:hint="eastAsia" w:ascii="仿宋" w:hAnsi="仿宋" w:eastAsia="仿宋" w:cs="仿宋"/>
                <w:color w:val="000000"/>
                <w:szCs w:val="24"/>
              </w:rPr>
              <w:t>001号</w:t>
            </w:r>
          </w:p>
        </w:tc>
      </w:tr>
      <w:tr>
        <w:tblPrEx>
          <w:tblCellMar>
            <w:top w:w="0" w:type="dxa"/>
            <w:left w:w="0" w:type="dxa"/>
            <w:bottom w:w="0" w:type="dxa"/>
            <w:right w:w="0" w:type="dxa"/>
          </w:tblCellMar>
        </w:tblPrEx>
        <w:trPr>
          <w:trHeight w:val="34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5</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做出处罚决定日期</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202</w:t>
            </w:r>
            <w:r>
              <w:rPr>
                <w:rFonts w:ascii="仿宋" w:hAnsi="仿宋" w:eastAsia="仿宋" w:cs="仿宋"/>
                <w:color w:val="000000"/>
                <w:szCs w:val="24"/>
              </w:rPr>
              <w:t>3</w:t>
            </w:r>
            <w:r>
              <w:rPr>
                <w:rFonts w:hint="eastAsia" w:ascii="仿宋" w:hAnsi="仿宋" w:eastAsia="仿宋" w:cs="仿宋"/>
                <w:color w:val="000000"/>
                <w:szCs w:val="24"/>
              </w:rPr>
              <w:t>年5月29日</w:t>
            </w:r>
          </w:p>
        </w:tc>
      </w:tr>
      <w:tr>
        <w:tblPrEx>
          <w:tblCellMar>
            <w:top w:w="0" w:type="dxa"/>
            <w:left w:w="0" w:type="dxa"/>
            <w:bottom w:w="0" w:type="dxa"/>
            <w:right w:w="0" w:type="dxa"/>
          </w:tblCellMar>
        </w:tblPrEx>
        <w:trPr>
          <w:trHeight w:val="37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6</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被处罚行政相对人名称</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铜川永红煤业有限责任公司</w:t>
            </w:r>
          </w:p>
        </w:tc>
      </w:tr>
      <w:tr>
        <w:tblPrEx>
          <w:tblCellMar>
            <w:top w:w="0" w:type="dxa"/>
            <w:left w:w="0" w:type="dxa"/>
            <w:bottom w:w="0" w:type="dxa"/>
            <w:right w:w="0" w:type="dxa"/>
          </w:tblCellMar>
        </w:tblPrEx>
        <w:trPr>
          <w:trHeight w:val="35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7</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被处罚行政相对人地址</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陕西省铜川市印台区金锁关镇玉华街道永红斜井</w:t>
            </w:r>
          </w:p>
        </w:tc>
      </w:tr>
      <w:tr>
        <w:tblPrEx>
          <w:tblCellMar>
            <w:top w:w="0" w:type="dxa"/>
            <w:left w:w="0" w:type="dxa"/>
            <w:bottom w:w="0" w:type="dxa"/>
            <w:right w:w="0" w:type="dxa"/>
          </w:tblCellMar>
        </w:tblPrEx>
        <w:trPr>
          <w:trHeight w:val="560"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8</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被处罚行政相对人</w:t>
            </w:r>
          </w:p>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法定代表人姓名</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宋国清</w:t>
            </w:r>
          </w:p>
        </w:tc>
      </w:tr>
      <w:tr>
        <w:tblPrEx>
          <w:tblCellMar>
            <w:top w:w="0" w:type="dxa"/>
            <w:left w:w="0" w:type="dxa"/>
            <w:bottom w:w="0" w:type="dxa"/>
            <w:right w:w="0" w:type="dxa"/>
          </w:tblCellMar>
        </w:tblPrEx>
        <w:trPr>
          <w:trHeight w:val="76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9</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被处罚行政相对人统一社会信用代码或身份证号码</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ascii="仿宋" w:hAnsi="仿宋" w:eastAsia="仿宋" w:cs="仿宋"/>
                <w:color w:val="000000"/>
                <w:szCs w:val="24"/>
              </w:rPr>
              <w:t>14113019920121001X</w:t>
            </w:r>
          </w:p>
        </w:tc>
      </w:tr>
      <w:tr>
        <w:tblPrEx>
          <w:tblCellMar>
            <w:top w:w="0" w:type="dxa"/>
            <w:left w:w="0" w:type="dxa"/>
            <w:bottom w:w="0" w:type="dxa"/>
            <w:right w:w="0" w:type="dxa"/>
          </w:tblCellMar>
        </w:tblPrEx>
        <w:trPr>
          <w:trHeight w:val="2554"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10</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240" w:lineRule="exact"/>
              <w:jc w:val="center"/>
              <w:rPr>
                <w:rFonts w:ascii="仿宋" w:hAnsi="仿宋" w:eastAsia="仿宋" w:cs="仿宋"/>
                <w:color w:val="000000"/>
                <w:szCs w:val="24"/>
              </w:rPr>
            </w:pPr>
            <w:r>
              <w:rPr>
                <w:rFonts w:hint="eastAsia" w:ascii="仿宋" w:hAnsi="仿宋" w:eastAsia="仿宋" w:cs="仿宋"/>
                <w:color w:val="000000"/>
                <w:szCs w:val="24"/>
              </w:rPr>
              <w:t>违法事实</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1.4203运输顺槽带式输送机驱动滚筒下风侧10～15m未安设一氧化碳传感器；</w:t>
            </w:r>
          </w:p>
          <w:p>
            <w:pPr>
              <w:pStyle w:val="3"/>
              <w:widowControl/>
              <w:spacing w:before="0" w:beforeAutospacing="0" w:after="0" w:afterAutospacing="0"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2.矿井开采有煤尘爆炸危险煤层，采用水棚作为隔爆设施，4202采煤工作面进风巷未安装隔爆水棚；</w:t>
            </w:r>
          </w:p>
          <w:p>
            <w:pPr>
              <w:pStyle w:val="3"/>
              <w:widowControl/>
              <w:spacing w:before="0" w:beforeAutospacing="0" w:after="0" w:afterAutospacing="0"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3.地面集中空气压缩机站，在储气罐出口管路上未加装释压阀；</w:t>
            </w:r>
          </w:p>
          <w:p>
            <w:pPr>
              <w:pStyle w:val="3"/>
              <w:widowControl/>
              <w:spacing w:before="0" w:beforeAutospacing="0" w:after="0" w:afterAutospacing="0"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4.未按规定在副井绞车房、空压机房安设直通矿调度室的有线调度电话；</w:t>
            </w:r>
          </w:p>
          <w:p>
            <w:pPr>
              <w:pStyle w:val="3"/>
              <w:widowControl/>
              <w:spacing w:before="0" w:beforeAutospacing="0" w:after="0" w:afterAutospacing="0" w:line="280" w:lineRule="exact"/>
              <w:rPr>
                <w:rFonts w:ascii="仿宋" w:hAnsi="仿宋" w:eastAsia="仿宋" w:cs="仿宋"/>
                <w:color w:val="000000"/>
                <w:szCs w:val="24"/>
              </w:rPr>
            </w:pPr>
            <w:r>
              <w:rPr>
                <w:rFonts w:hint="eastAsia" w:ascii="仿宋" w:hAnsi="仿宋" w:eastAsia="仿宋" w:cs="仿宋"/>
                <w:color w:val="000000"/>
                <w:sz w:val="21"/>
                <w:szCs w:val="21"/>
              </w:rPr>
              <w:t>5.中央变电所低压馈电设备未按要求每天必须对低压漏电保护进行一次跳闸试验。</w:t>
            </w:r>
          </w:p>
        </w:tc>
      </w:tr>
      <w:tr>
        <w:tblPrEx>
          <w:tblCellMar>
            <w:top w:w="0" w:type="dxa"/>
            <w:left w:w="0" w:type="dxa"/>
            <w:bottom w:w="0" w:type="dxa"/>
            <w:right w:w="0" w:type="dxa"/>
          </w:tblCellMar>
        </w:tblPrEx>
        <w:trPr>
          <w:trHeight w:val="3113" w:hRule="atLeast"/>
          <w:jc w:val="center"/>
        </w:trPr>
        <w:tc>
          <w:tcPr>
            <w:tcW w:w="545" w:type="dxa"/>
            <w:tcBorders>
              <w:top w:val="nil"/>
              <w:left w:val="single" w:color="333333" w:sz="6" w:space="0"/>
              <w:bottom w:val="single" w:color="auto" w:sz="4"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11</w:t>
            </w:r>
          </w:p>
        </w:tc>
        <w:tc>
          <w:tcPr>
            <w:tcW w:w="2750" w:type="dxa"/>
            <w:tcBorders>
              <w:top w:val="nil"/>
              <w:left w:val="nil"/>
              <w:bottom w:val="single" w:color="auto" w:sz="4"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240" w:lineRule="exact"/>
              <w:jc w:val="center"/>
              <w:rPr>
                <w:rFonts w:ascii="仿宋" w:hAnsi="仿宋" w:eastAsia="仿宋" w:cs="仿宋"/>
                <w:color w:val="000000"/>
                <w:szCs w:val="24"/>
              </w:rPr>
            </w:pPr>
            <w:r>
              <w:rPr>
                <w:rFonts w:hint="eastAsia" w:ascii="仿宋" w:hAnsi="仿宋" w:eastAsia="仿宋" w:cs="仿宋"/>
                <w:color w:val="000000"/>
                <w:szCs w:val="24"/>
              </w:rPr>
              <w:t>违法依据</w:t>
            </w:r>
            <w:bookmarkStart w:id="0" w:name="_GoBack"/>
            <w:bookmarkEnd w:id="0"/>
          </w:p>
        </w:tc>
        <w:tc>
          <w:tcPr>
            <w:tcW w:w="6337" w:type="dxa"/>
            <w:tcBorders>
              <w:top w:val="nil"/>
              <w:left w:val="nil"/>
              <w:bottom w:val="single" w:color="auto" w:sz="4"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1.《中华人民共和国安全生产法》第三十六条第一款、《煤矿防灭火细则》第五十五条第二款；</w:t>
            </w:r>
          </w:p>
          <w:p>
            <w:pPr>
              <w:pStyle w:val="3"/>
              <w:widowControl/>
              <w:spacing w:before="0" w:beforeAutospacing="0" w:after="0" w:afterAutospacing="0"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2.《中华人民共和国安全生产法》第三十六条第一款、《煤矿井下粉尘综合防治技术规范》（AQ1020-2008）6.5.1.2；</w:t>
            </w:r>
          </w:p>
          <w:p>
            <w:pPr>
              <w:pStyle w:val="3"/>
              <w:widowControl/>
              <w:spacing w:before="0" w:beforeAutospacing="0" w:after="0" w:afterAutospacing="0"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3.《中华人民共和国安全生产法》第三十六条第一款、《煤矿安全规程》第四百三十三条第三项；</w:t>
            </w:r>
          </w:p>
          <w:p>
            <w:pPr>
              <w:pStyle w:val="3"/>
              <w:widowControl/>
              <w:spacing w:before="0" w:beforeAutospacing="0" w:after="0" w:afterAutospacing="0"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4.《中华人民共和国安全生产法》第三十六条第一款、《煤矿安全规程》第五百零七条第一款；</w:t>
            </w:r>
          </w:p>
          <w:p>
            <w:pPr>
              <w:pStyle w:val="3"/>
              <w:widowControl/>
              <w:spacing w:before="0" w:beforeAutospacing="0" w:after="0" w:afterAutospacing="0" w:line="280" w:lineRule="exact"/>
              <w:rPr>
                <w:rFonts w:ascii="仿宋" w:hAnsi="仿宋" w:eastAsia="仿宋" w:cs="仿宋"/>
                <w:color w:val="000000"/>
                <w:szCs w:val="24"/>
              </w:rPr>
            </w:pPr>
            <w:r>
              <w:rPr>
                <w:rFonts w:hint="eastAsia" w:ascii="仿宋" w:hAnsi="仿宋" w:eastAsia="仿宋" w:cs="仿宋"/>
                <w:color w:val="000000"/>
                <w:sz w:val="21"/>
                <w:szCs w:val="21"/>
              </w:rPr>
              <w:t>5.《中华人民共和国安全生产法》第三十六条第二款、《煤矿安全规程》第四百五十三条第四款。</w:t>
            </w:r>
          </w:p>
        </w:tc>
      </w:tr>
      <w:tr>
        <w:tblPrEx>
          <w:tblCellMar>
            <w:top w:w="0" w:type="dxa"/>
            <w:left w:w="0" w:type="dxa"/>
            <w:bottom w:w="0" w:type="dxa"/>
            <w:right w:w="0" w:type="dxa"/>
          </w:tblCellMar>
        </w:tblPrEx>
        <w:trPr>
          <w:trHeight w:val="1445" w:hRule="atLeast"/>
          <w:jc w:val="center"/>
        </w:trPr>
        <w:tc>
          <w:tcPr>
            <w:tcW w:w="545" w:type="dxa"/>
            <w:tcBorders>
              <w:top w:val="single" w:color="auto" w:sz="4"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12</w:t>
            </w:r>
          </w:p>
        </w:tc>
        <w:tc>
          <w:tcPr>
            <w:tcW w:w="2750" w:type="dxa"/>
            <w:tcBorders>
              <w:top w:val="single" w:color="auto" w:sz="4"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240" w:lineRule="exact"/>
              <w:jc w:val="center"/>
              <w:rPr>
                <w:rFonts w:ascii="仿宋" w:hAnsi="仿宋" w:eastAsia="仿宋" w:cs="仿宋"/>
                <w:color w:val="000000"/>
                <w:szCs w:val="24"/>
              </w:rPr>
            </w:pPr>
            <w:r>
              <w:rPr>
                <w:rFonts w:hint="eastAsia" w:ascii="仿宋" w:hAnsi="仿宋" w:eastAsia="仿宋" w:cs="仿宋"/>
                <w:color w:val="000000"/>
                <w:szCs w:val="24"/>
              </w:rPr>
              <w:t>处罚依据</w:t>
            </w:r>
          </w:p>
        </w:tc>
        <w:tc>
          <w:tcPr>
            <w:tcW w:w="6337" w:type="dxa"/>
            <w:tcBorders>
              <w:top w:val="single" w:color="auto" w:sz="4" w:space="0"/>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2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1.《中华人民共和国安全生产法》第九十九条第二项</w:t>
            </w:r>
            <w:r>
              <w:rPr>
                <w:rFonts w:hint="eastAsia" w:ascii="仿宋" w:hAnsi="仿宋" w:eastAsia="仿宋" w:cs="仿宋"/>
                <w:color w:val="000000"/>
                <w:sz w:val="21"/>
                <w:szCs w:val="21"/>
                <w:lang w:eastAsia="zh-CN"/>
              </w:rPr>
              <w:t>；</w:t>
            </w:r>
          </w:p>
          <w:p>
            <w:pPr>
              <w:pStyle w:val="3"/>
              <w:widowControl/>
              <w:spacing w:before="0" w:beforeAutospacing="0" w:after="0" w:afterAutospacing="0" w:line="2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2.《中华人民共和国安全生产法》第九十九条第二项</w:t>
            </w:r>
            <w:r>
              <w:rPr>
                <w:rFonts w:hint="eastAsia" w:ascii="仿宋" w:hAnsi="仿宋" w:eastAsia="仿宋" w:cs="仿宋"/>
                <w:color w:val="000000"/>
                <w:sz w:val="21"/>
                <w:szCs w:val="21"/>
                <w:lang w:eastAsia="zh-CN"/>
              </w:rPr>
              <w:t>；</w:t>
            </w:r>
          </w:p>
          <w:p>
            <w:pPr>
              <w:pStyle w:val="3"/>
              <w:widowControl/>
              <w:spacing w:before="0" w:beforeAutospacing="0" w:after="0" w:afterAutospacing="0" w:line="2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3.《中华人民共和国安全生产法》第九十九条第二项</w:t>
            </w:r>
            <w:r>
              <w:rPr>
                <w:rFonts w:hint="eastAsia" w:ascii="仿宋" w:hAnsi="仿宋" w:eastAsia="仿宋" w:cs="仿宋"/>
                <w:color w:val="000000"/>
                <w:sz w:val="21"/>
                <w:szCs w:val="21"/>
                <w:lang w:eastAsia="zh-CN"/>
              </w:rPr>
              <w:t>；</w:t>
            </w:r>
          </w:p>
          <w:p>
            <w:pPr>
              <w:pStyle w:val="3"/>
              <w:widowControl/>
              <w:spacing w:before="0" w:beforeAutospacing="0" w:after="0" w:afterAutospacing="0" w:line="2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4.《中华人民共和国安全生产法》第九十九条第二项</w:t>
            </w:r>
            <w:r>
              <w:rPr>
                <w:rFonts w:hint="eastAsia" w:ascii="仿宋" w:hAnsi="仿宋" w:eastAsia="仿宋" w:cs="仿宋"/>
                <w:color w:val="000000"/>
                <w:sz w:val="21"/>
                <w:szCs w:val="21"/>
                <w:lang w:eastAsia="zh-CN"/>
              </w:rPr>
              <w:t>；</w:t>
            </w:r>
          </w:p>
          <w:p>
            <w:pPr>
              <w:pStyle w:val="3"/>
              <w:widowControl/>
              <w:spacing w:before="0" w:beforeAutospacing="0" w:after="0" w:afterAutospacing="0" w:line="240" w:lineRule="exact"/>
              <w:rPr>
                <w:rFonts w:hint="eastAsia" w:ascii="仿宋" w:hAnsi="仿宋" w:eastAsia="仿宋" w:cs="仿宋"/>
                <w:color w:val="000000"/>
                <w:szCs w:val="24"/>
                <w:lang w:eastAsia="zh-CN"/>
              </w:rPr>
            </w:pPr>
            <w:r>
              <w:rPr>
                <w:rFonts w:hint="eastAsia" w:ascii="仿宋" w:hAnsi="仿宋" w:eastAsia="仿宋" w:cs="仿宋"/>
                <w:color w:val="000000"/>
                <w:sz w:val="21"/>
                <w:szCs w:val="21"/>
              </w:rPr>
              <w:t>5.《中华人民共和国安全生产法》第九十九条第二项</w:t>
            </w:r>
            <w:r>
              <w:rPr>
                <w:rFonts w:hint="eastAsia" w:ascii="仿宋" w:hAnsi="仿宋" w:eastAsia="仿宋" w:cs="仿宋"/>
                <w:color w:val="000000"/>
                <w:sz w:val="21"/>
                <w:szCs w:val="21"/>
                <w:lang w:eastAsia="zh-CN"/>
              </w:rPr>
              <w:t>。</w:t>
            </w:r>
          </w:p>
        </w:tc>
      </w:tr>
      <w:tr>
        <w:tblPrEx>
          <w:tblCellMar>
            <w:top w:w="0" w:type="dxa"/>
            <w:left w:w="0" w:type="dxa"/>
            <w:bottom w:w="0" w:type="dxa"/>
            <w:right w:w="0" w:type="dxa"/>
          </w:tblCellMar>
        </w:tblPrEx>
        <w:trPr>
          <w:trHeight w:val="784"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0" w:lineRule="atLeast"/>
              <w:jc w:val="center"/>
              <w:rPr>
                <w:rFonts w:ascii="仿宋" w:hAnsi="仿宋" w:eastAsia="仿宋" w:cs="仿宋"/>
                <w:color w:val="000000"/>
                <w:szCs w:val="24"/>
              </w:rPr>
            </w:pPr>
            <w:r>
              <w:rPr>
                <w:rFonts w:hint="eastAsia" w:ascii="仿宋" w:hAnsi="仿宋" w:eastAsia="仿宋" w:cs="仿宋"/>
                <w:color w:val="000000"/>
                <w:szCs w:val="24"/>
              </w:rPr>
              <w:t>13</w:t>
            </w:r>
          </w:p>
        </w:tc>
        <w:tc>
          <w:tcPr>
            <w:tcW w:w="2750"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widowControl/>
              <w:spacing w:before="0" w:beforeAutospacing="0" w:after="0" w:afterAutospacing="0" w:line="240" w:lineRule="exact"/>
              <w:jc w:val="center"/>
              <w:rPr>
                <w:rFonts w:ascii="仿宋" w:hAnsi="仿宋" w:eastAsia="仿宋" w:cs="仿宋"/>
                <w:color w:val="000000"/>
                <w:szCs w:val="24"/>
              </w:rPr>
            </w:pPr>
            <w:r>
              <w:rPr>
                <w:rFonts w:hint="eastAsia" w:ascii="仿宋" w:hAnsi="仿宋" w:eastAsia="仿宋" w:cs="仿宋"/>
                <w:color w:val="000000"/>
                <w:szCs w:val="24"/>
              </w:rPr>
              <w:t>处罚结果</w:t>
            </w:r>
          </w:p>
        </w:tc>
        <w:tc>
          <w:tcPr>
            <w:tcW w:w="6337"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widowControl/>
              <w:spacing w:before="0" w:beforeAutospacing="0" w:after="0" w:afterAutospacing="0" w:line="240" w:lineRule="exact"/>
              <w:rPr>
                <w:rFonts w:ascii="仿宋" w:hAnsi="仿宋" w:eastAsia="仿宋" w:cs="仿宋"/>
                <w:color w:val="000000"/>
                <w:szCs w:val="24"/>
              </w:rPr>
            </w:pPr>
            <w:r>
              <w:rPr>
                <w:rFonts w:hint="eastAsia" w:ascii="仿宋" w:hAnsi="仿宋" w:eastAsia="仿宋" w:cs="仿宋"/>
                <w:color w:val="000000"/>
                <w:szCs w:val="24"/>
              </w:rPr>
              <w:t>对铜川永红煤业有限责任公司罚款人民币壹拾伍万元整（</w:t>
            </w:r>
            <w:r>
              <w:rPr>
                <w:rFonts w:eastAsia="仿宋" w:cs="Calibri"/>
                <w:color w:val="000000"/>
                <w:szCs w:val="24"/>
              </w:rPr>
              <w:t>¥</w:t>
            </w:r>
            <w:r>
              <w:rPr>
                <w:rFonts w:hint="eastAsia" w:ascii="仿宋" w:hAnsi="仿宋" w:eastAsia="仿宋" w:cs="仿宋"/>
                <w:color w:val="000000"/>
                <w:szCs w:val="24"/>
              </w:rPr>
              <w:t>150,000</w:t>
            </w:r>
            <w:r>
              <w:rPr>
                <w:rFonts w:ascii="仿宋" w:hAnsi="仿宋" w:eastAsia="仿宋" w:cs="仿宋"/>
                <w:color w:val="000000"/>
                <w:szCs w:val="24"/>
              </w:rPr>
              <w:t>.00</w:t>
            </w:r>
            <w:r>
              <w:rPr>
                <w:rFonts w:hint="eastAsia" w:ascii="仿宋" w:hAnsi="仿宋" w:eastAsia="仿宋" w:cs="仿宋"/>
                <w:color w:val="000000"/>
                <w:szCs w:val="24"/>
              </w:rPr>
              <w:t>）。</w:t>
            </w:r>
          </w:p>
        </w:tc>
      </w:tr>
    </w:tbl>
    <w:p>
      <w:pPr>
        <w:pStyle w:val="7"/>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02D4653B"/>
    <w:rsid w:val="11101DC5"/>
    <w:rsid w:val="16B3762F"/>
    <w:rsid w:val="1A2B0F37"/>
    <w:rsid w:val="32503CA9"/>
    <w:rsid w:val="3F44357F"/>
    <w:rsid w:val="3FB1329C"/>
    <w:rsid w:val="56842029"/>
    <w:rsid w:val="6797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宋体" w:hAnsi="Calibri" w:eastAsia="宋体" w:cs="宋体"/>
      <w:sz w:val="24"/>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uiPriority w:val="0"/>
    <w:rPr>
      <w:b/>
    </w:rPr>
  </w:style>
  <w:style w:type="paragraph" w:customStyle="1" w:styleId="7">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2023-01-09T00:55:00Z</dcterms:created>
  <dc:creator>Administrator</dc:creator>
  <cp:lastModifiedBy>安之若素i</cp:lastModifiedBy>
  <dcterms:modified xsi:type="dcterms:W3CDTF">2023-07-05T10:19:16Z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7887FE58DE7F4C169741D394B36236F6</vt:lpwstr>
  </property>
</Properties>
</file>