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黑体" w:hAnsi="黑体" w:eastAsia="黑体" w:cs="黑体"/>
          <w:color w:val="000000"/>
          <w:kern w:val="0"/>
          <w:sz w:val="32"/>
          <w:szCs w:val="32"/>
          <w:lang w:val="en-US" w:eastAsia="zh-CN" w:bidi="ar"/>
        </w:rPr>
      </w:pPr>
      <w:bookmarkStart w:id="0" w:name="_GoBack"/>
      <w:r>
        <w:rPr>
          <w:rFonts w:hint="eastAsia" w:ascii="黑体" w:hAnsi="黑体" w:eastAsia="黑体" w:cs="黑体"/>
          <w:color w:val="000000"/>
          <w:kern w:val="0"/>
          <w:sz w:val="32"/>
          <w:szCs w:val="32"/>
          <w:lang w:val="en-US" w:eastAsia="zh-CN" w:bidi="ar"/>
        </w:rPr>
        <w:t>附件5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陕西腾晖矿业有限公司双山煤矿安全生产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违法违规行为行政处罚信息表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
        <w:gridCol w:w="2765"/>
        <w:gridCol w:w="6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序号</w:t>
            </w:r>
          </w:p>
        </w:tc>
        <w:tc>
          <w:tcPr>
            <w:tcW w:w="2765"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要素</w:t>
            </w:r>
          </w:p>
        </w:tc>
        <w:tc>
          <w:tcPr>
            <w:tcW w:w="6052"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65"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6052"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sz w:val="24"/>
                <w:szCs w:val="24"/>
                <w:u w:val="none"/>
              </w:rPr>
              <w:t>陕西腾晖矿业有限公司双山煤矿</w:t>
            </w:r>
            <w:r>
              <w:rPr>
                <w:rFonts w:hint="eastAsia" w:ascii="仿宋" w:hAnsi="仿宋" w:eastAsia="仿宋" w:cs="仿宋"/>
                <w:sz w:val="24"/>
                <w:szCs w:val="24"/>
                <w:u w:val="none"/>
                <w:lang w:eastAsia="zh-CN"/>
              </w:rPr>
              <w:t>安全生产隐患管理类、安全设备使用维护类违法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auto"/>
                <w:kern w:val="2"/>
                <w:sz w:val="24"/>
                <w:szCs w:val="24"/>
                <w:lang w:val="en-US" w:eastAsia="zh-CN" w:bidi="ar-SA"/>
              </w:rPr>
              <w:t>陕西腾晖矿业有限公司双山煤矿回风立井安全出口风门未联锁等违法违规案。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做出处罚决定机关名称</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处罚决定书文号</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jc w:val="center"/>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陕</w:t>
            </w:r>
            <w:r>
              <w:rPr>
                <w:rFonts w:hint="eastAsia" w:ascii="仿宋" w:hAnsi="仿宋" w:eastAsia="仿宋" w:cs="仿宋"/>
                <w:sz w:val="24"/>
                <w:szCs w:val="24"/>
              </w:rPr>
              <w:t>(</w:t>
            </w:r>
            <w:r>
              <w:rPr>
                <w:rFonts w:hint="eastAsia" w:ascii="仿宋" w:hAnsi="仿宋" w:eastAsia="仿宋" w:cs="仿宋"/>
                <w:sz w:val="24"/>
                <w:szCs w:val="24"/>
                <w:lang w:val="en-US" w:eastAsia="zh-CN"/>
              </w:rPr>
              <w:t>应急</w:t>
            </w:r>
            <w:r>
              <w:rPr>
                <w:rFonts w:hint="eastAsia" w:ascii="仿宋" w:hAnsi="仿宋" w:eastAsia="仿宋" w:cs="仿宋"/>
                <w:sz w:val="24"/>
                <w:szCs w:val="24"/>
              </w:rPr>
              <w:t>)煤安罚〔</w:t>
            </w:r>
            <w:r>
              <w:rPr>
                <w:rFonts w:hint="eastAsia" w:ascii="仿宋" w:hAnsi="仿宋" w:eastAsia="仿宋" w:cs="仿宋"/>
                <w:sz w:val="24"/>
                <w:szCs w:val="24"/>
                <w:lang w:val="en-US" w:eastAsia="zh-CN"/>
              </w:rPr>
              <w:t>2023</w:t>
            </w:r>
            <w:r>
              <w:rPr>
                <w:rFonts w:hint="eastAsia" w:ascii="仿宋" w:hAnsi="仿宋" w:eastAsia="仿宋" w:cs="仿宋"/>
                <w:sz w:val="24"/>
                <w:szCs w:val="24"/>
              </w:rPr>
              <w:t>〕</w:t>
            </w:r>
            <w:r>
              <w:rPr>
                <w:rFonts w:hint="eastAsia" w:ascii="仿宋" w:hAnsi="仿宋" w:eastAsia="仿宋" w:cs="仿宋"/>
                <w:sz w:val="24"/>
                <w:szCs w:val="24"/>
                <w:lang w:val="en-US" w:eastAsia="zh-CN"/>
              </w:rPr>
              <w:t>116004</w:t>
            </w:r>
            <w:r>
              <w:rPr>
                <w:rFonts w:hint="eastAsia" w:ascii="仿宋" w:hAnsi="仿宋" w:eastAsia="仿宋" w:cs="仿宋"/>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做出处罚决定日期</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2023年</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eastAsia="zh-CN"/>
              </w:rPr>
              <w:t>月</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陕西腾晖矿业有限公司双山煤矿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地址</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陕西省榆林市榆阳区麻黄梁镇北大村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高春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916100005593597002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1.回风立井安全出口风门未联锁；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2.无轨胶轮材料车未装设失速保护装置；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3.运输大巷胶带输送机张紧控制箱三条控制线用同一喇叭口引出，失爆；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4.306综放工作面皮带机头两驱动中第二个驱动滚筒的温度保护探头距滚筒距离超过规定距离。306综放工作面皮带机头落煤保护探头距落煤滚筒距离超过规定。304综采工作面机头硐室掘进工作面运输皮带机头堆煤保护探头距落煤滚筒距离超过规定</w:t>
            </w:r>
            <w:r>
              <w:rPr>
                <w:rFonts w:hint="eastAsia" w:ascii="仿宋" w:hAnsi="仿宋" w:eastAsia="仿宋" w:cs="仿宋"/>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0"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1</w:t>
            </w:r>
          </w:p>
        </w:tc>
        <w:tc>
          <w:tcPr>
            <w:tcW w:w="2765"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违法依据</w:t>
            </w:r>
          </w:p>
        </w:tc>
        <w:tc>
          <w:tcPr>
            <w:tcW w:w="6052"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1.《煤矿安全规程》第一百五十五条第一款；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2.《煤矿安全规程》第三百九十二条第九项、《安全生产法》第三十六条第一项；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3.《煤矿安全规程》第四百八十二条；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u w:val="none"/>
                <w:lang w:eastAsia="zh-CN"/>
              </w:rPr>
            </w:pPr>
            <w:r>
              <w:rPr>
                <w:rFonts w:hint="eastAsia" w:ascii="仿宋" w:hAnsi="仿宋" w:eastAsia="仿宋" w:cs="仿宋"/>
                <w:sz w:val="24"/>
                <w:szCs w:val="24"/>
                <w:u w:val="none"/>
                <w:lang w:val="en-US" w:eastAsia="zh-CN"/>
              </w:rPr>
              <w:t>4.《煤矿安全规程》第三百七十四条第二项、《安全生产法》第三十六条第一项。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2</w:t>
            </w:r>
          </w:p>
        </w:tc>
        <w:tc>
          <w:tcPr>
            <w:tcW w:w="2765"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w:t>
            </w:r>
            <w:r>
              <w:rPr>
                <w:rFonts w:hint="eastAsia" w:ascii="仿宋" w:hAnsi="仿宋" w:eastAsia="仿宋" w:cs="仿宋"/>
                <w:b w:val="0"/>
                <w:i w:val="0"/>
                <w:color w:val="000000"/>
                <w:sz w:val="24"/>
                <w:szCs w:val="24"/>
                <w:lang w:val="en-US" w:eastAsia="zh-CN"/>
              </w:rPr>
              <w:t>依据</w:t>
            </w:r>
          </w:p>
        </w:tc>
        <w:tc>
          <w:tcPr>
            <w:tcW w:w="6052"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1.《中华人民共和国安全生产法》第一百零二条；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u w:val="none"/>
                <w:lang w:eastAsia="zh-CN"/>
              </w:rPr>
            </w:pPr>
            <w:r>
              <w:rPr>
                <w:rFonts w:hint="eastAsia" w:ascii="仿宋" w:hAnsi="仿宋" w:eastAsia="仿宋" w:cs="仿宋"/>
                <w:sz w:val="24"/>
                <w:szCs w:val="24"/>
                <w:u w:val="none"/>
                <w:lang w:val="en-US" w:eastAsia="zh-CN"/>
              </w:rPr>
              <w:t>4.《中华人民共和国安全生产法》第九十九条第二项</w:t>
            </w:r>
            <w:r>
              <w:rPr>
                <w:rFonts w:hint="eastAsia" w:ascii="仿宋" w:hAnsi="仿宋" w:eastAsia="仿宋" w:cs="仿宋"/>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处罚结果</w:t>
            </w:r>
          </w:p>
        </w:tc>
        <w:tc>
          <w:tcPr>
            <w:tcW w:w="605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对</w:t>
            </w:r>
            <w:r>
              <w:rPr>
                <w:rFonts w:hint="eastAsia" w:ascii="仿宋" w:hAnsi="仿宋" w:eastAsia="仿宋" w:cs="仿宋"/>
                <w:color w:val="auto"/>
                <w:kern w:val="2"/>
                <w:sz w:val="24"/>
                <w:szCs w:val="24"/>
                <w:lang w:val="en-US" w:eastAsia="zh-CN" w:bidi="ar-SA"/>
              </w:rPr>
              <w:t>陕西腾晖矿业有限公司双山煤矿</w:t>
            </w:r>
            <w:r>
              <w:rPr>
                <w:rFonts w:hint="eastAsia" w:ascii="仿宋" w:hAnsi="仿宋" w:eastAsia="仿宋" w:cs="仿宋"/>
                <w:sz w:val="24"/>
                <w:szCs w:val="24"/>
                <w:u w:val="none"/>
                <w:lang w:val="en-US" w:eastAsia="zh-CN"/>
              </w:rPr>
              <w:t>罚款人民币壹拾贰万元整（¥120,000.00）</w:t>
            </w:r>
            <w:r>
              <w:rPr>
                <w:rFonts w:hint="eastAsia" w:ascii="仿宋" w:hAnsi="仿宋" w:eastAsia="仿宋" w:cs="仿宋"/>
                <w:sz w:val="24"/>
                <w:szCs w:val="24"/>
                <w:u w:val="none"/>
              </w:rPr>
              <w:t>。</w:t>
            </w:r>
          </w:p>
        </w:tc>
      </w:tr>
    </w:tbl>
    <w:p>
      <w:pPr>
        <w:pStyle w:val="7"/>
        <w:ind w:left="0" w:leftChars="0" w:firstLine="0" w:firstLineChars="0"/>
        <w:rPr>
          <w:color w:val="000000"/>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3F44357F"/>
    <w:rsid w:val="3FB1329C"/>
    <w:rsid w:val="56842029"/>
    <w:rsid w:val="67974901"/>
    <w:rsid w:val="7E4A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2023-07-05T10:18:49Z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