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/>
        <w:rPr>
          <w:rFonts w:hint="eastAsia" w:hAnsi="Times New Roman"/>
          <w:b/>
          <w:sz w:val="36"/>
          <w:lang w:val="en"/>
        </w:rPr>
      </w:pPr>
      <w:r>
        <w:rPr>
          <w:rFonts w:hint="eastAsia" w:hAnsi="Times New Roman"/>
          <w:b/>
          <w:sz w:val="36"/>
        </w:rPr>
        <w:t>附件</w:t>
      </w:r>
    </w:p>
    <w:tbl>
      <w:tblPr>
        <w:tblStyle w:val="12"/>
        <w:tblW w:w="1489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2222"/>
        <w:gridCol w:w="1984"/>
        <w:gridCol w:w="1489"/>
        <w:gridCol w:w="1612"/>
        <w:gridCol w:w="4270"/>
        <w:gridCol w:w="27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  <w:jc w:val="center"/>
        </w:trPr>
        <w:tc>
          <w:tcPr>
            <w:tcW w:w="14899" w:type="dxa"/>
            <w:gridSpan w:val="7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hAnsi="Times New Roman"/>
                <w:sz w:val="36"/>
              </w:rPr>
            </w:pPr>
            <w:r>
              <w:rPr>
                <w:rFonts w:hint="eastAsia" w:hAnsi="Times New Roman"/>
                <w:b/>
                <w:sz w:val="36"/>
              </w:rPr>
              <w:t>延期危险化学品安全生产许可企业名单（</w:t>
            </w:r>
            <w:r>
              <w:rPr>
                <w:rFonts w:hint="eastAsia" w:hAnsi="Times New Roman"/>
                <w:b/>
                <w:sz w:val="36"/>
                <w:lang w:val="en"/>
              </w:rPr>
              <w:t>14</w:t>
            </w:r>
            <w:r>
              <w:rPr>
                <w:rFonts w:hint="eastAsia" w:hAnsi="Times New Roman"/>
                <w:b/>
                <w:sz w:val="36"/>
              </w:rPr>
              <w:t>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hAnsi="Times New Roman"/>
                <w:sz w:val="28"/>
              </w:rPr>
            </w:pPr>
            <w:r>
              <w:rPr>
                <w:rFonts w:hint="eastAsia" w:hAnsi="Times New Roman"/>
                <w:b/>
                <w:sz w:val="28"/>
              </w:rPr>
              <w:t>序号</w:t>
            </w:r>
          </w:p>
        </w:tc>
        <w:tc>
          <w:tcPr>
            <w:tcW w:w="22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hAnsi="Times New Roman"/>
                <w:sz w:val="28"/>
              </w:rPr>
            </w:pPr>
            <w:r>
              <w:rPr>
                <w:rFonts w:hint="eastAsia" w:hAnsi="Times New Roman"/>
                <w:b/>
                <w:sz w:val="28"/>
              </w:rPr>
              <w:t>法    人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hAnsi="Times New Roman"/>
                <w:sz w:val="28"/>
              </w:rPr>
            </w:pPr>
            <w:r>
              <w:rPr>
                <w:rFonts w:hint="eastAsia" w:hAnsi="Times New Roman"/>
                <w:b/>
                <w:sz w:val="28"/>
              </w:rPr>
              <w:t>地    址</w:t>
            </w:r>
          </w:p>
        </w:tc>
        <w:tc>
          <w:tcPr>
            <w:tcW w:w="1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hAnsi="Times New Roman"/>
                <w:b/>
                <w:sz w:val="28"/>
              </w:rPr>
            </w:pPr>
            <w:r>
              <w:rPr>
                <w:rFonts w:hint="eastAsia" w:hAnsi="Times New Roman"/>
                <w:b/>
                <w:sz w:val="28"/>
              </w:rPr>
              <w:t>法定代表人</w:t>
            </w:r>
          </w:p>
          <w:p>
            <w:pPr>
              <w:spacing w:beforeLines="0" w:afterLines="0"/>
              <w:jc w:val="center"/>
              <w:rPr>
                <w:rFonts w:hint="eastAsia" w:hAnsi="Times New Roman"/>
                <w:sz w:val="28"/>
              </w:rPr>
            </w:pPr>
            <w:r>
              <w:rPr>
                <w:rFonts w:hint="eastAsia" w:hAnsi="Times New Roman"/>
                <w:b/>
                <w:sz w:val="28"/>
              </w:rPr>
              <w:t>（负责人）</w:t>
            </w:r>
          </w:p>
        </w:tc>
        <w:tc>
          <w:tcPr>
            <w:tcW w:w="1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hAnsi="Times New Roman"/>
                <w:sz w:val="28"/>
              </w:rPr>
            </w:pPr>
            <w:r>
              <w:rPr>
                <w:rFonts w:hint="eastAsia" w:hAnsi="Times New Roman"/>
                <w:b/>
                <w:sz w:val="28"/>
              </w:rPr>
              <w:t>许可证编号</w:t>
            </w:r>
          </w:p>
        </w:tc>
        <w:tc>
          <w:tcPr>
            <w:tcW w:w="4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hAnsi="Times New Roman"/>
                <w:sz w:val="28"/>
              </w:rPr>
            </w:pPr>
            <w:r>
              <w:rPr>
                <w:rFonts w:hint="eastAsia" w:hAnsi="Times New Roman"/>
                <w:b/>
                <w:sz w:val="28"/>
              </w:rPr>
              <w:t>许可范围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hAnsi="Times New Roman"/>
                <w:sz w:val="28"/>
              </w:rPr>
            </w:pPr>
            <w:r>
              <w:rPr>
                <w:rFonts w:hint="eastAsia" w:hAnsi="Times New Roman"/>
                <w:b/>
                <w:sz w:val="28"/>
              </w:rPr>
              <w:t>许可证有效期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  <w:jc w:val="center"/>
        </w:trPr>
        <w:tc>
          <w:tcPr>
            <w:tcW w:w="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Lines="0" w:afterLines="0"/>
              <w:jc w:val="center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4"/>
              </w:rPr>
              <w:t>1</w:t>
            </w:r>
          </w:p>
        </w:tc>
        <w:tc>
          <w:tcPr>
            <w:tcW w:w="22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color w:val="auto"/>
                <w:w w:val="90"/>
                <w:sz w:val="22"/>
              </w:rPr>
              <w:t>府谷县昊田煤电冶化有限公司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color w:val="auto"/>
                <w:w w:val="90"/>
                <w:sz w:val="22"/>
              </w:rPr>
              <w:t>陕西省榆林市府谷县新民镇万家墩工业园区</w:t>
            </w:r>
          </w:p>
        </w:tc>
        <w:tc>
          <w:tcPr>
            <w:tcW w:w="1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color w:val="auto"/>
                <w:w w:val="90"/>
                <w:sz w:val="22"/>
              </w:rPr>
              <w:t>王爱军</w:t>
            </w:r>
          </w:p>
        </w:tc>
        <w:tc>
          <w:tcPr>
            <w:tcW w:w="1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bottom"/>
              <w:rPr>
                <w:rFonts w:hint="eastAsia" w:hAnsi="宋体"/>
                <w:sz w:val="20"/>
              </w:rPr>
            </w:pPr>
            <w:r>
              <w:rPr>
                <w:rFonts w:hint="eastAsia" w:hAnsi="宋体"/>
                <w:sz w:val="20"/>
              </w:rPr>
              <w:t>（陕）WH安许证〔2023〕0189号</w:t>
            </w:r>
          </w:p>
        </w:tc>
        <w:tc>
          <w:tcPr>
            <w:tcW w:w="4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color w:val="auto"/>
                <w:w w:val="90"/>
                <w:sz w:val="22"/>
              </w:rPr>
              <w:t>镁2万吨/年、煤焦油12万吨/年、碳化钙（电石）22万吨/年、煤气2.6亿m³/年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exact"/>
              <w:jc w:val="center"/>
              <w:rPr>
                <w:rFonts w:hint="eastAsia" w:hAnsi="宋体"/>
                <w:color w:val="auto"/>
                <w:w w:val="90"/>
                <w:sz w:val="22"/>
              </w:rPr>
            </w:pPr>
            <w:r>
              <w:rPr>
                <w:rFonts w:hint="eastAsia" w:hAnsi="宋体"/>
                <w:color w:val="auto"/>
                <w:w w:val="90"/>
                <w:sz w:val="22"/>
              </w:rPr>
              <w:t>2023-01-23至2026-01-22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Lines="0" w:afterLine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2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color w:val="auto"/>
                <w:w w:val="90"/>
                <w:sz w:val="22"/>
              </w:rPr>
              <w:t>西安嘉德力精细石油化工有限责任公司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color w:val="auto"/>
                <w:w w:val="90"/>
                <w:sz w:val="22"/>
              </w:rPr>
              <w:t>陕西省西安市高陵区泾河工业园区泾渭六路30号</w:t>
            </w:r>
          </w:p>
        </w:tc>
        <w:tc>
          <w:tcPr>
            <w:tcW w:w="1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color w:val="auto"/>
                <w:w w:val="90"/>
                <w:sz w:val="22"/>
              </w:rPr>
              <w:t>和建宁</w:t>
            </w:r>
          </w:p>
        </w:tc>
        <w:tc>
          <w:tcPr>
            <w:tcW w:w="1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spacing w:beforeLines="0" w:afterLines="0"/>
              <w:jc w:val="center"/>
              <w:textAlignment w:val="bottom"/>
              <w:rPr>
                <w:rFonts w:hint="eastAsia" w:hAnsi="宋体"/>
                <w:sz w:val="20"/>
              </w:rPr>
            </w:pPr>
            <w:r>
              <w:rPr>
                <w:rFonts w:hint="eastAsia" w:hAnsi="宋体"/>
                <w:sz w:val="20"/>
              </w:rPr>
              <w:t>（陕）WH安许证〔2023〕0196号</w:t>
            </w:r>
          </w:p>
        </w:tc>
        <w:tc>
          <w:tcPr>
            <w:tcW w:w="4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color w:val="auto"/>
                <w:w w:val="90"/>
                <w:sz w:val="22"/>
              </w:rPr>
              <w:t>汽油抗爆剂1万吨/年、甲醇汽油5万吨/年、改性甲醇2万吨/年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exact"/>
              <w:jc w:val="center"/>
              <w:rPr>
                <w:rFonts w:hint="eastAsia" w:hAnsi="宋体"/>
                <w:color w:val="auto"/>
                <w:w w:val="90"/>
                <w:sz w:val="22"/>
              </w:rPr>
            </w:pPr>
            <w:r>
              <w:rPr>
                <w:rFonts w:hint="eastAsia" w:hAnsi="宋体"/>
                <w:color w:val="auto"/>
                <w:w w:val="90"/>
                <w:sz w:val="22"/>
              </w:rPr>
              <w:t>2023-01-13至2025-12-15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Lines="0" w:afterLine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2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color w:val="auto"/>
                <w:w w:val="90"/>
                <w:sz w:val="22"/>
              </w:rPr>
              <w:t>安塞华油天然气有限公司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color w:val="auto"/>
                <w:w w:val="90"/>
                <w:sz w:val="22"/>
              </w:rPr>
              <w:t>陕西省延安市安塞区化子坪镇鲍家营村</w:t>
            </w:r>
          </w:p>
        </w:tc>
        <w:tc>
          <w:tcPr>
            <w:tcW w:w="1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color w:val="auto"/>
                <w:w w:val="90"/>
                <w:sz w:val="22"/>
              </w:rPr>
              <w:t>马玉</w:t>
            </w:r>
          </w:p>
        </w:tc>
        <w:tc>
          <w:tcPr>
            <w:tcW w:w="1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spacing w:beforeLines="0" w:afterLines="0"/>
              <w:jc w:val="center"/>
              <w:textAlignment w:val="bottom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0"/>
              </w:rPr>
              <w:t>（陕）WH安许证〔2023〕0197号</w:t>
            </w:r>
          </w:p>
        </w:tc>
        <w:tc>
          <w:tcPr>
            <w:tcW w:w="4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color w:val="auto"/>
                <w:w w:val="90"/>
                <w:sz w:val="22"/>
              </w:rPr>
              <w:t>液化天然气48万吨/年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exact"/>
              <w:jc w:val="center"/>
              <w:rPr>
                <w:rFonts w:hint="eastAsia" w:hAnsi="宋体"/>
                <w:color w:val="auto"/>
                <w:w w:val="90"/>
                <w:sz w:val="22"/>
              </w:rPr>
            </w:pPr>
            <w:r>
              <w:rPr>
                <w:rFonts w:hint="eastAsia" w:hAnsi="宋体"/>
                <w:color w:val="auto"/>
                <w:w w:val="90"/>
                <w:sz w:val="22"/>
              </w:rPr>
              <w:t>2023-01-13至2025-12-22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Lines="0" w:afterLine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2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color w:val="auto"/>
                <w:w w:val="90"/>
                <w:sz w:val="22"/>
              </w:rPr>
              <w:t>陕西延长石油隆星化工有限公司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color w:val="auto"/>
                <w:w w:val="90"/>
                <w:sz w:val="22"/>
              </w:rPr>
              <w:t>神木市锦界工业园区</w:t>
            </w:r>
          </w:p>
        </w:tc>
        <w:tc>
          <w:tcPr>
            <w:tcW w:w="1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color w:val="auto"/>
                <w:w w:val="90"/>
                <w:sz w:val="22"/>
              </w:rPr>
              <w:t>姚鹏宙</w:t>
            </w:r>
          </w:p>
        </w:tc>
        <w:tc>
          <w:tcPr>
            <w:tcW w:w="1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spacing w:beforeLines="0" w:afterLines="0"/>
              <w:jc w:val="center"/>
              <w:textAlignment w:val="bottom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0"/>
              </w:rPr>
              <w:t>（陕）WH安许证〔2023〕0198号</w:t>
            </w:r>
          </w:p>
        </w:tc>
        <w:tc>
          <w:tcPr>
            <w:tcW w:w="4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color w:val="auto"/>
                <w:w w:val="90"/>
                <w:sz w:val="22"/>
              </w:rPr>
              <w:t>煤焦油3万吨/年、煤气4亿Nm³/年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exact"/>
              <w:jc w:val="center"/>
              <w:rPr>
                <w:rFonts w:hint="eastAsia" w:hAnsi="宋体"/>
                <w:color w:val="auto"/>
                <w:w w:val="90"/>
                <w:sz w:val="22"/>
              </w:rPr>
            </w:pPr>
            <w:r>
              <w:rPr>
                <w:rFonts w:hint="eastAsia" w:hAnsi="宋体"/>
                <w:color w:val="auto"/>
                <w:w w:val="90"/>
                <w:sz w:val="22"/>
              </w:rPr>
              <w:t>2023-01-13至2025-12-29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Lines="0" w:afterLine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2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exact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color w:val="auto"/>
                <w:w w:val="90"/>
                <w:sz w:val="22"/>
              </w:rPr>
              <w:t>富县盛泽精细化工有限公司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Lines="0" w:afterLines="0" w:line="28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color w:val="auto"/>
                <w:w w:val="90"/>
                <w:sz w:val="22"/>
              </w:rPr>
              <w:t>陕西省延安市富县牛武镇阳畔行政村095号</w:t>
            </w:r>
          </w:p>
        </w:tc>
        <w:tc>
          <w:tcPr>
            <w:tcW w:w="1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Lines="0" w:afterLines="0" w:line="280" w:lineRule="exact"/>
              <w:jc w:val="center"/>
              <w:rPr>
                <w:rFonts w:hint="eastAsia" w:hAnsi="宋体" w:eastAsia="宋体"/>
                <w:sz w:val="24"/>
                <w:lang w:eastAsia="zh-CN"/>
              </w:rPr>
            </w:pPr>
            <w:r>
              <w:rPr>
                <w:rFonts w:hint="eastAsia" w:hAnsi="宋体"/>
                <w:color w:val="auto"/>
                <w:w w:val="90"/>
                <w:sz w:val="22"/>
                <w:lang w:eastAsia="zh-CN"/>
              </w:rPr>
              <w:t>张宇</w:t>
            </w:r>
            <w:bookmarkStart w:id="0" w:name="_GoBack"/>
            <w:bookmarkEnd w:id="0"/>
          </w:p>
        </w:tc>
        <w:tc>
          <w:tcPr>
            <w:tcW w:w="1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spacing w:beforeLines="0" w:afterLines="0"/>
              <w:jc w:val="center"/>
              <w:textAlignment w:val="bottom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0"/>
              </w:rPr>
              <w:t>（陕）WH安许证〔2023〕0167号</w:t>
            </w:r>
          </w:p>
        </w:tc>
        <w:tc>
          <w:tcPr>
            <w:tcW w:w="4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Lines="0" w:afterLines="0" w:line="28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color w:val="auto"/>
                <w:w w:val="90"/>
                <w:sz w:val="22"/>
              </w:rPr>
              <w:t>液化石油气7万吨/年、溶剂油【闭杯闪点≤60℃】5万吨/年、石脑油5万吨/年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exact"/>
              <w:jc w:val="center"/>
              <w:rPr>
                <w:rFonts w:hint="eastAsia" w:hAnsi="宋体"/>
                <w:color w:val="auto"/>
                <w:w w:val="90"/>
                <w:sz w:val="22"/>
              </w:rPr>
            </w:pPr>
            <w:r>
              <w:rPr>
                <w:rFonts w:hint="eastAsia" w:hAnsi="宋体"/>
                <w:color w:val="auto"/>
                <w:w w:val="90"/>
                <w:sz w:val="22"/>
              </w:rPr>
              <w:t>2023-01-13至2025-12-15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Lines="0" w:afterLines="0"/>
              <w:jc w:val="center"/>
              <w:rPr>
                <w:rFonts w:hint="eastAsia"/>
                <w:sz w:val="24"/>
                <w:lang w:val="en"/>
              </w:rPr>
            </w:pPr>
            <w:r>
              <w:rPr>
                <w:rFonts w:hint="eastAsia"/>
                <w:sz w:val="24"/>
                <w:lang w:val="en"/>
              </w:rPr>
              <w:t>6</w:t>
            </w:r>
          </w:p>
        </w:tc>
        <w:tc>
          <w:tcPr>
            <w:tcW w:w="22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Lines="0" w:afterLines="0" w:line="280" w:lineRule="exact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color w:val="auto"/>
                <w:w w:val="90"/>
                <w:sz w:val="22"/>
              </w:rPr>
              <w:t>晶瑞新能源科技有限公司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Lines="0" w:afterLines="0" w:line="28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color w:val="auto"/>
                <w:w w:val="90"/>
                <w:sz w:val="22"/>
              </w:rPr>
              <w:t>陕西省渭南市华州区瓜坡镇良侯大道东侧</w:t>
            </w:r>
          </w:p>
        </w:tc>
        <w:tc>
          <w:tcPr>
            <w:tcW w:w="1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Lines="0" w:afterLines="0" w:line="28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color w:val="auto"/>
                <w:w w:val="90"/>
                <w:sz w:val="22"/>
              </w:rPr>
              <w:t>汪鸣豪</w:t>
            </w:r>
          </w:p>
        </w:tc>
        <w:tc>
          <w:tcPr>
            <w:tcW w:w="1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spacing w:beforeLines="0" w:afterLines="0"/>
              <w:jc w:val="center"/>
              <w:textAlignment w:val="bottom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0"/>
              </w:rPr>
              <w:t>（陕）WH安许证〔2023〕0188号</w:t>
            </w:r>
          </w:p>
        </w:tc>
        <w:tc>
          <w:tcPr>
            <w:tcW w:w="4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Lines="0" w:afterLines="0" w:line="28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color w:val="auto"/>
                <w:w w:val="90"/>
                <w:sz w:val="22"/>
              </w:rPr>
              <w:t>锂离子电池电解液1万吨/年，氢气900万Nm</w:t>
            </w:r>
            <w:r>
              <w:rPr>
                <w:rFonts w:hint="eastAsia" w:hAnsi="宋体"/>
                <w:color w:val="auto"/>
                <w:w w:val="90"/>
                <w:sz w:val="22"/>
                <w:vertAlign w:val="superscript"/>
              </w:rPr>
              <w:t>3</w:t>
            </w:r>
            <w:r>
              <w:rPr>
                <w:rFonts w:hint="eastAsia" w:hAnsi="宋体"/>
                <w:color w:val="auto"/>
                <w:w w:val="90"/>
                <w:sz w:val="22"/>
              </w:rPr>
              <w:t>/年，α-吡咯烷酮5000吨/年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exact"/>
              <w:jc w:val="center"/>
              <w:rPr>
                <w:rFonts w:hint="eastAsia" w:hAnsi="宋体"/>
                <w:color w:val="auto"/>
                <w:w w:val="90"/>
                <w:sz w:val="22"/>
              </w:rPr>
            </w:pPr>
            <w:r>
              <w:rPr>
                <w:rFonts w:hint="eastAsia" w:hAnsi="宋体"/>
                <w:color w:val="auto"/>
                <w:w w:val="90"/>
                <w:sz w:val="22"/>
              </w:rPr>
              <w:t>2023-01-23至2026-01-22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Lines="0" w:afterLines="0"/>
              <w:jc w:val="center"/>
              <w:rPr>
                <w:rFonts w:hint="eastAsia"/>
                <w:sz w:val="24"/>
                <w:lang w:val="en"/>
              </w:rPr>
            </w:pPr>
            <w:r>
              <w:rPr>
                <w:rFonts w:hint="eastAsia"/>
                <w:sz w:val="24"/>
                <w:lang w:val="en"/>
              </w:rPr>
              <w:t>7</w:t>
            </w:r>
          </w:p>
        </w:tc>
        <w:tc>
          <w:tcPr>
            <w:tcW w:w="22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Lines="0" w:afterLines="0" w:line="280" w:lineRule="exact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color w:val="auto"/>
                <w:w w:val="90"/>
                <w:sz w:val="22"/>
              </w:rPr>
              <w:t>陕西未来能源化工有限公司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Lines="0" w:afterLines="0" w:line="28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color w:val="auto"/>
                <w:w w:val="90"/>
                <w:sz w:val="22"/>
              </w:rPr>
              <w:t>榆林市芹河镇榆横煤化学工业园北区</w:t>
            </w:r>
          </w:p>
        </w:tc>
        <w:tc>
          <w:tcPr>
            <w:tcW w:w="1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Lines="0" w:afterLines="0" w:line="28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color w:val="auto"/>
                <w:w w:val="90"/>
                <w:sz w:val="22"/>
              </w:rPr>
              <w:t>马洪光</w:t>
            </w:r>
          </w:p>
        </w:tc>
        <w:tc>
          <w:tcPr>
            <w:tcW w:w="1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spacing w:beforeLines="0" w:afterLines="0"/>
              <w:jc w:val="center"/>
              <w:textAlignment w:val="bottom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0"/>
              </w:rPr>
              <w:t>（陕）WH安许证〔2023〕0074号</w:t>
            </w:r>
          </w:p>
        </w:tc>
        <w:tc>
          <w:tcPr>
            <w:tcW w:w="4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Lines="0" w:afterLines="0" w:line="28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color w:val="auto"/>
                <w:w w:val="90"/>
                <w:sz w:val="22"/>
              </w:rPr>
              <w:t>粗液体蜡1号、粗液体蜡2号、柴油共80万吨/年；稳定轻烃、石脑油共28万吨/年；液化石油气（工业、民用）共11万吨/年；硫磺9万吨/年；煤基费托含氧化合物5万吨/年。新增：丙烯、丙烷、混合C4共10万吨/年。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exact"/>
              <w:jc w:val="center"/>
              <w:rPr>
                <w:rFonts w:hint="eastAsia" w:hAnsi="宋体"/>
                <w:color w:val="auto"/>
                <w:w w:val="90"/>
                <w:sz w:val="22"/>
              </w:rPr>
            </w:pPr>
            <w:r>
              <w:rPr>
                <w:rFonts w:hint="eastAsia" w:hAnsi="宋体"/>
                <w:color w:val="auto"/>
                <w:w w:val="90"/>
                <w:sz w:val="22"/>
              </w:rPr>
              <w:t>2023-01-23至2026-01-22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Lines="0" w:afterLines="0"/>
              <w:jc w:val="center"/>
              <w:rPr>
                <w:rFonts w:hint="eastAsia"/>
                <w:sz w:val="24"/>
                <w:lang w:val="en"/>
              </w:rPr>
            </w:pPr>
            <w:r>
              <w:rPr>
                <w:rFonts w:hint="eastAsia"/>
                <w:sz w:val="24"/>
                <w:lang w:val="en"/>
              </w:rPr>
              <w:t>8</w:t>
            </w:r>
          </w:p>
        </w:tc>
        <w:tc>
          <w:tcPr>
            <w:tcW w:w="22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Lines="0" w:afterLines="0" w:line="280" w:lineRule="exact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color w:val="auto"/>
                <w:w w:val="90"/>
                <w:sz w:val="22"/>
              </w:rPr>
              <w:t>西安万祥新材料有限公司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Lines="0" w:afterLines="0" w:line="28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color w:val="auto"/>
                <w:w w:val="90"/>
                <w:sz w:val="22"/>
              </w:rPr>
              <w:t>西安市临潼区秦王一路</w:t>
            </w:r>
          </w:p>
        </w:tc>
        <w:tc>
          <w:tcPr>
            <w:tcW w:w="1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Lines="0" w:afterLines="0" w:line="28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color w:val="auto"/>
                <w:w w:val="90"/>
                <w:sz w:val="22"/>
              </w:rPr>
              <w:t>赵翔</w:t>
            </w:r>
          </w:p>
        </w:tc>
        <w:tc>
          <w:tcPr>
            <w:tcW w:w="1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spacing w:beforeLines="0" w:afterLines="0"/>
              <w:jc w:val="center"/>
              <w:textAlignment w:val="bottom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0"/>
              </w:rPr>
              <w:t>（陕）WH安许证〔2023〕0199号</w:t>
            </w:r>
          </w:p>
        </w:tc>
        <w:tc>
          <w:tcPr>
            <w:tcW w:w="4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Lines="0" w:afterLines="0" w:line="28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color w:val="auto"/>
                <w:spacing w:val="-11"/>
                <w:w w:val="90"/>
                <w:sz w:val="22"/>
              </w:rPr>
              <w:t>特厚型静电涂料120吨/年、醇酸磁漆80吨/年、氨基烘干磁漆70吨/年、聚氨酯磁漆70吨/年、环氧磁漆60吨/年、元素有机硅漆60吨/年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exact"/>
              <w:jc w:val="center"/>
              <w:rPr>
                <w:rFonts w:hint="eastAsia" w:hAnsi="宋体"/>
                <w:color w:val="auto"/>
                <w:w w:val="90"/>
                <w:sz w:val="22"/>
              </w:rPr>
            </w:pPr>
            <w:r>
              <w:rPr>
                <w:rFonts w:hint="eastAsia" w:hAnsi="宋体"/>
                <w:color w:val="auto"/>
                <w:w w:val="90"/>
                <w:sz w:val="22"/>
              </w:rPr>
              <w:t>2023-01-13至2025-07-03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Lines="0" w:afterLines="0"/>
              <w:jc w:val="center"/>
              <w:rPr>
                <w:rFonts w:hint="eastAsia"/>
                <w:sz w:val="24"/>
                <w:lang w:val="en"/>
              </w:rPr>
            </w:pPr>
            <w:r>
              <w:rPr>
                <w:rFonts w:hint="eastAsia"/>
                <w:sz w:val="24"/>
                <w:lang w:val="en"/>
              </w:rPr>
              <w:t>9</w:t>
            </w:r>
          </w:p>
        </w:tc>
        <w:tc>
          <w:tcPr>
            <w:tcW w:w="22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Lines="0" w:afterLines="0" w:line="280" w:lineRule="exact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color w:val="auto"/>
                <w:w w:val="90"/>
                <w:sz w:val="22"/>
              </w:rPr>
              <w:t>陕西液化天然气投资发展有限公司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Lines="0" w:afterLines="0" w:line="28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color w:val="auto"/>
                <w:w w:val="90"/>
                <w:sz w:val="22"/>
              </w:rPr>
              <w:t>杨凌示范区渭惠东路35号</w:t>
            </w:r>
          </w:p>
        </w:tc>
        <w:tc>
          <w:tcPr>
            <w:tcW w:w="1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Lines="0" w:afterLines="0" w:line="28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color w:val="auto"/>
                <w:w w:val="90"/>
                <w:sz w:val="22"/>
              </w:rPr>
              <w:t>毛宗学</w:t>
            </w:r>
          </w:p>
        </w:tc>
        <w:tc>
          <w:tcPr>
            <w:tcW w:w="1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spacing w:beforeLines="0" w:afterLines="0"/>
              <w:jc w:val="center"/>
              <w:textAlignment w:val="bottom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0"/>
              </w:rPr>
              <w:t>（陕）WH安许证〔2023〕0202号</w:t>
            </w:r>
          </w:p>
        </w:tc>
        <w:tc>
          <w:tcPr>
            <w:tcW w:w="4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Lines="0" w:afterLines="0" w:line="280" w:lineRule="exact"/>
              <w:jc w:val="both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color w:val="auto"/>
                <w:w w:val="90"/>
                <w:sz w:val="22"/>
              </w:rPr>
              <w:t>液化天然气（LNG）44.8万吨/年；天然气32.85亿m³/年，凝析油（稳定轻烃）2700吨/年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exact"/>
              <w:jc w:val="center"/>
              <w:rPr>
                <w:rFonts w:hint="eastAsia" w:hAnsi="宋体"/>
                <w:color w:val="auto"/>
                <w:w w:val="90"/>
                <w:sz w:val="22"/>
              </w:rPr>
            </w:pPr>
            <w:r>
              <w:rPr>
                <w:rFonts w:hint="eastAsia" w:hAnsi="宋体"/>
                <w:color w:val="auto"/>
                <w:w w:val="90"/>
                <w:sz w:val="22"/>
              </w:rPr>
              <w:t>2023-01-13至2023-03-09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Lines="0" w:afterLines="0"/>
              <w:jc w:val="center"/>
              <w:rPr>
                <w:rFonts w:hint="eastAsia"/>
                <w:sz w:val="24"/>
                <w:lang w:val="en"/>
              </w:rPr>
            </w:pPr>
            <w:r>
              <w:rPr>
                <w:rFonts w:hint="eastAsia"/>
                <w:sz w:val="24"/>
                <w:lang w:val="en"/>
              </w:rPr>
              <w:t>10</w:t>
            </w:r>
          </w:p>
        </w:tc>
        <w:tc>
          <w:tcPr>
            <w:tcW w:w="22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Lines="0" w:afterLines="0" w:line="280" w:lineRule="exact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color w:val="auto"/>
                <w:w w:val="90"/>
                <w:sz w:val="22"/>
              </w:rPr>
              <w:t>府谷县宇超煤电化有限责任公司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Lines="0" w:afterLines="0" w:line="28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color w:val="auto"/>
                <w:w w:val="90"/>
                <w:sz w:val="22"/>
              </w:rPr>
              <w:t>陕西省榆林市府谷县老高川乡丁家伙盘村</w:t>
            </w:r>
          </w:p>
        </w:tc>
        <w:tc>
          <w:tcPr>
            <w:tcW w:w="1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Lines="0" w:afterLines="0" w:line="28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color w:val="auto"/>
                <w:w w:val="90"/>
                <w:sz w:val="22"/>
              </w:rPr>
              <w:t>马回营</w:t>
            </w:r>
          </w:p>
        </w:tc>
        <w:tc>
          <w:tcPr>
            <w:tcW w:w="1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spacing w:beforeLines="0" w:afterLines="0"/>
              <w:jc w:val="center"/>
              <w:textAlignment w:val="bottom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0"/>
              </w:rPr>
              <w:t>（陕）WH安许证〔2023〕0190号</w:t>
            </w:r>
          </w:p>
        </w:tc>
        <w:tc>
          <w:tcPr>
            <w:tcW w:w="4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Lines="0" w:afterLines="0" w:line="28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color w:val="auto"/>
                <w:w w:val="90"/>
                <w:sz w:val="22"/>
              </w:rPr>
              <w:t>煤焦油6万吨/年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exact"/>
              <w:jc w:val="center"/>
              <w:rPr>
                <w:rFonts w:hint="eastAsia" w:hAnsi="宋体"/>
                <w:color w:val="auto"/>
                <w:w w:val="90"/>
                <w:sz w:val="22"/>
              </w:rPr>
            </w:pPr>
            <w:r>
              <w:rPr>
                <w:rFonts w:hint="eastAsia" w:hAnsi="宋体"/>
                <w:color w:val="auto"/>
                <w:w w:val="90"/>
                <w:sz w:val="22"/>
              </w:rPr>
              <w:t>2023-01-23至2026-01-22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Lines="0" w:afterLines="0"/>
              <w:jc w:val="center"/>
              <w:rPr>
                <w:rFonts w:hint="eastAsia"/>
                <w:sz w:val="24"/>
                <w:lang w:val="en"/>
              </w:rPr>
            </w:pPr>
            <w:r>
              <w:rPr>
                <w:rFonts w:hint="eastAsia"/>
                <w:sz w:val="24"/>
                <w:lang w:val="en"/>
              </w:rPr>
              <w:t>11</w:t>
            </w:r>
          </w:p>
        </w:tc>
        <w:tc>
          <w:tcPr>
            <w:tcW w:w="22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exact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color w:val="auto"/>
                <w:w w:val="90"/>
                <w:sz w:val="22"/>
              </w:rPr>
              <w:t>府谷大石新材料科技有限公司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color w:val="auto"/>
                <w:w w:val="90"/>
                <w:sz w:val="22"/>
              </w:rPr>
              <w:t>陕西省榆林市府谷县三道沟新庙村</w:t>
            </w:r>
          </w:p>
        </w:tc>
        <w:tc>
          <w:tcPr>
            <w:tcW w:w="1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color w:val="auto"/>
                <w:w w:val="90"/>
                <w:sz w:val="22"/>
              </w:rPr>
              <w:t>徐海林</w:t>
            </w:r>
          </w:p>
        </w:tc>
        <w:tc>
          <w:tcPr>
            <w:tcW w:w="1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spacing w:beforeLines="0" w:afterLines="0"/>
              <w:jc w:val="center"/>
              <w:textAlignment w:val="bottom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0"/>
              </w:rPr>
              <w:t>（陕）WH安许证〔2023〕0191号</w:t>
            </w:r>
          </w:p>
        </w:tc>
        <w:tc>
          <w:tcPr>
            <w:tcW w:w="4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color w:val="auto"/>
                <w:w w:val="90"/>
                <w:sz w:val="22"/>
              </w:rPr>
              <w:t>煤焦油7.8万吨/年，煤气3.78亿m³/年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exact"/>
              <w:jc w:val="center"/>
              <w:rPr>
                <w:rFonts w:hint="eastAsia" w:hAnsi="宋体"/>
                <w:color w:val="auto"/>
                <w:w w:val="90"/>
                <w:sz w:val="22"/>
              </w:rPr>
            </w:pPr>
            <w:r>
              <w:rPr>
                <w:rFonts w:hint="eastAsia" w:hAnsi="宋体"/>
                <w:color w:val="auto"/>
                <w:w w:val="90"/>
                <w:sz w:val="22"/>
              </w:rPr>
              <w:t>2023-01-23至2026-01-22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Lines="0" w:afterLines="0"/>
              <w:jc w:val="center"/>
              <w:rPr>
                <w:rFonts w:hint="eastAsia"/>
                <w:sz w:val="24"/>
                <w:lang w:val="en"/>
              </w:rPr>
            </w:pPr>
            <w:r>
              <w:rPr>
                <w:rFonts w:hint="eastAsia"/>
                <w:sz w:val="24"/>
                <w:lang w:val="en"/>
              </w:rPr>
              <w:t>1</w:t>
            </w: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2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Lines="0" w:afterLines="0" w:line="280" w:lineRule="exact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color w:val="auto"/>
                <w:w w:val="90"/>
                <w:sz w:val="22"/>
              </w:rPr>
              <w:t>神木市恒润煤化工有限公司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Lines="0" w:afterLines="0" w:line="28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color w:val="auto"/>
                <w:w w:val="90"/>
                <w:sz w:val="22"/>
              </w:rPr>
              <w:t>陕西省神木市孙家岔镇燕家塔工业园区</w:t>
            </w:r>
          </w:p>
        </w:tc>
        <w:tc>
          <w:tcPr>
            <w:tcW w:w="1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Lines="0" w:afterLines="0" w:line="28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color w:val="auto"/>
                <w:w w:val="90"/>
                <w:sz w:val="22"/>
              </w:rPr>
              <w:t>张雄虎</w:t>
            </w:r>
          </w:p>
        </w:tc>
        <w:tc>
          <w:tcPr>
            <w:tcW w:w="1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spacing w:beforeLines="0" w:afterLines="0"/>
              <w:jc w:val="center"/>
              <w:textAlignment w:val="bottom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0"/>
              </w:rPr>
              <w:t>（陕）WH安许证〔2023〕0201号</w:t>
            </w:r>
          </w:p>
        </w:tc>
        <w:tc>
          <w:tcPr>
            <w:tcW w:w="4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color w:val="auto"/>
                <w:w w:val="90"/>
                <w:sz w:val="22"/>
              </w:rPr>
              <w:t>镁2万吨/年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exact"/>
              <w:jc w:val="center"/>
              <w:rPr>
                <w:rFonts w:hint="eastAsia" w:hAnsi="宋体"/>
                <w:color w:val="auto"/>
                <w:w w:val="90"/>
                <w:sz w:val="22"/>
              </w:rPr>
            </w:pPr>
            <w:r>
              <w:rPr>
                <w:rFonts w:hint="eastAsia" w:hAnsi="宋体"/>
                <w:color w:val="auto"/>
                <w:w w:val="90"/>
                <w:sz w:val="22"/>
              </w:rPr>
              <w:t>2023-03-29至2026-03-28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Lines="0" w:afterLines="0"/>
              <w:jc w:val="center"/>
              <w:rPr>
                <w:rFonts w:hint="eastAsia"/>
                <w:sz w:val="24"/>
                <w:lang w:val="en"/>
              </w:rPr>
            </w:pPr>
            <w:r>
              <w:rPr>
                <w:rFonts w:hint="eastAsia"/>
                <w:sz w:val="24"/>
                <w:lang w:val="en"/>
              </w:rPr>
              <w:t>1</w:t>
            </w: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2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exact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color w:val="auto"/>
                <w:w w:val="90"/>
                <w:sz w:val="22"/>
              </w:rPr>
              <w:t>府谷县蓝天盛电气化有限责任公司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color w:val="auto"/>
                <w:w w:val="90"/>
                <w:sz w:val="22"/>
              </w:rPr>
              <w:t>陕西省榆林市府谷县老高川镇石板台村</w:t>
            </w:r>
          </w:p>
        </w:tc>
        <w:tc>
          <w:tcPr>
            <w:tcW w:w="1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color w:val="auto"/>
                <w:w w:val="90"/>
                <w:sz w:val="22"/>
              </w:rPr>
              <w:t>吕勇</w:t>
            </w:r>
          </w:p>
        </w:tc>
        <w:tc>
          <w:tcPr>
            <w:tcW w:w="1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spacing w:beforeLines="0" w:afterLines="0"/>
              <w:jc w:val="center"/>
              <w:textAlignment w:val="bottom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0"/>
              </w:rPr>
              <w:t>（陕）WH安许证〔2023〕0187号</w:t>
            </w:r>
          </w:p>
        </w:tc>
        <w:tc>
          <w:tcPr>
            <w:tcW w:w="4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color w:val="auto"/>
                <w:w w:val="90"/>
                <w:sz w:val="22"/>
              </w:rPr>
              <w:t>煤焦油5万吨/年，煤气5亿Nm³/年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exact"/>
              <w:jc w:val="center"/>
              <w:rPr>
                <w:rFonts w:hint="eastAsia" w:hAnsi="宋体"/>
                <w:color w:val="auto"/>
                <w:w w:val="90"/>
                <w:sz w:val="22"/>
              </w:rPr>
            </w:pPr>
            <w:r>
              <w:rPr>
                <w:rFonts w:hint="eastAsia" w:hAnsi="宋体"/>
                <w:color w:val="auto"/>
                <w:w w:val="90"/>
                <w:sz w:val="22"/>
              </w:rPr>
              <w:br w:type="textWrapping"/>
            </w:r>
            <w:r>
              <w:rPr>
                <w:rFonts w:hint="eastAsia" w:hAnsi="宋体"/>
                <w:color w:val="auto"/>
                <w:w w:val="90"/>
                <w:sz w:val="22"/>
              </w:rPr>
              <w:t>2023-01-13至2026-01-06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Lines="0" w:afterLine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22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exact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color w:val="auto"/>
                <w:w w:val="90"/>
                <w:sz w:val="22"/>
              </w:rPr>
              <w:t>府谷县万鑫煤电化有限责任公司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color w:val="auto"/>
                <w:w w:val="90"/>
                <w:sz w:val="22"/>
              </w:rPr>
              <w:t>陕西省榆林市府谷县老高川乡丁家伙盘工业园区</w:t>
            </w:r>
          </w:p>
        </w:tc>
        <w:tc>
          <w:tcPr>
            <w:tcW w:w="1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color w:val="auto"/>
                <w:w w:val="90"/>
                <w:sz w:val="22"/>
              </w:rPr>
              <w:t>吴喜林</w:t>
            </w:r>
          </w:p>
        </w:tc>
        <w:tc>
          <w:tcPr>
            <w:tcW w:w="1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spacing w:beforeLines="0" w:afterLines="0"/>
              <w:jc w:val="center"/>
              <w:textAlignment w:val="bottom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0"/>
              </w:rPr>
              <w:t>（陕）WH安许证〔2023〕0192号</w:t>
            </w:r>
          </w:p>
        </w:tc>
        <w:tc>
          <w:tcPr>
            <w:tcW w:w="4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color w:val="auto"/>
                <w:w w:val="90"/>
                <w:sz w:val="22"/>
              </w:rPr>
              <w:t>镁2万吨/年、煤焦油9万吨/年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exact"/>
              <w:jc w:val="center"/>
              <w:rPr>
                <w:rFonts w:hint="eastAsia" w:hAnsi="宋体"/>
                <w:color w:val="auto"/>
                <w:w w:val="90"/>
                <w:sz w:val="22"/>
              </w:rPr>
            </w:pPr>
            <w:r>
              <w:rPr>
                <w:rFonts w:hint="eastAsia" w:hAnsi="宋体"/>
                <w:color w:val="auto"/>
                <w:w w:val="90"/>
                <w:sz w:val="22"/>
              </w:rPr>
              <w:t>2023-01-24至2026-01-23</w:t>
            </w:r>
          </w:p>
        </w:tc>
      </w:tr>
    </w:tbl>
    <w:p>
      <w:pPr>
        <w:spacing w:beforeLines="0" w:afterLines="0"/>
        <w:rPr>
          <w:rFonts w:hint="default" w:ascii="Arial"/>
          <w:sz w:val="28"/>
        </w:rPr>
      </w:pPr>
    </w:p>
    <w:p>
      <w:pPr>
        <w:pStyle w:val="2"/>
        <w:spacing w:beforeLines="0" w:afterLines="0"/>
        <w:rPr>
          <w:rFonts w:hint="default"/>
          <w:sz w:val="28"/>
        </w:rPr>
      </w:pPr>
    </w:p>
    <w:p>
      <w:pPr>
        <w:pStyle w:val="5"/>
        <w:spacing w:beforeLines="0" w:afterLines="0"/>
        <w:rPr>
          <w:rFonts w:hint="default" w:ascii="Arial"/>
          <w:sz w:val="28"/>
        </w:rPr>
      </w:pPr>
    </w:p>
    <w:p>
      <w:pPr>
        <w:spacing w:beforeLines="0" w:afterLines="0"/>
        <w:rPr>
          <w:rFonts w:hint="default" w:ascii="Arial"/>
          <w:sz w:val="28"/>
        </w:rPr>
      </w:pPr>
    </w:p>
    <w:p>
      <w:pPr>
        <w:pStyle w:val="5"/>
        <w:spacing w:beforeLines="0" w:afterLines="0"/>
        <w:rPr>
          <w:rFonts w:hint="eastAsia"/>
          <w:sz w:val="18"/>
        </w:rPr>
      </w:pPr>
    </w:p>
    <w:p>
      <w:pPr>
        <w:pStyle w:val="5"/>
        <w:spacing w:beforeLines="0" w:afterLines="0"/>
        <w:rPr>
          <w:rFonts w:hint="default" w:ascii="Arial"/>
          <w:sz w:val="28"/>
        </w:rPr>
      </w:pPr>
    </w:p>
    <w:p>
      <w:pPr>
        <w:spacing w:beforeLines="0" w:afterLines="0"/>
        <w:rPr>
          <w:rFonts w:hint="default" w:ascii="Arial"/>
          <w:sz w:val="28"/>
        </w:rPr>
      </w:pPr>
    </w:p>
    <w:p>
      <w:pPr>
        <w:pStyle w:val="2"/>
        <w:spacing w:beforeLines="0" w:afterLines="0"/>
        <w:rPr>
          <w:rFonts w:hint="default"/>
          <w:sz w:val="24"/>
        </w:rPr>
      </w:pPr>
    </w:p>
    <w:p>
      <w:pPr>
        <w:spacing w:beforeLines="0" w:afterLines="0"/>
        <w:rPr>
          <w:rFonts w:hint="default" w:ascii="Arial"/>
          <w:sz w:val="28"/>
        </w:rPr>
      </w:pPr>
      <w:r>
        <w:rPr>
          <w:rFonts w:hint="default" w:ascii="Arial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85090</wp:posOffset>
                </wp:positionV>
                <wp:extent cx="9144000" cy="25400"/>
                <wp:effectExtent l="0" t="4445" r="0" b="8255"/>
                <wp:wrapNone/>
                <wp:docPr id="1" name="鐩寸嚎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0" cy="254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鐩寸嚎 2" o:spid="_x0000_s1026" o:spt="20" style="position:absolute;left:0pt;margin-left:1.05pt;margin-top:6.7pt;height:2pt;width:720pt;z-index:251658240;mso-width-relative:page;mso-height-relative:page;" filled="f" stroked="t" coordsize="21600,21600" o:gfxdata="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k9xUF1QAAAAgBAAAPAAAAAAAAAAEAIAAAACIA&#10;AABkcnMvZG93bnJldi54bWxQSwECFAAUAAAACACHTuJAbBatNNMBAACUAwAADgAAAAAAAAABACAA&#10;AAAkAQAAZHJzL2Uyb0RvYy54bWxQSwUGAAAAAAYABgBZAQAAa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beforeLines="0" w:afterLines="0"/>
        <w:rPr>
          <w:rFonts w:hint="default" w:ascii="Arial"/>
          <w:sz w:val="28"/>
        </w:rPr>
      </w:pPr>
      <w:r>
        <w:rPr>
          <w:rFonts w:hint="eastAsia"/>
          <w:sz w:val="28"/>
        </w:rPr>
        <w:t>陕西省应急管理厅</w:t>
      </w:r>
      <w:r>
        <w:rPr>
          <w:rFonts w:hint="default" w:ascii="Arial"/>
          <w:sz w:val="28"/>
        </w:rPr>
        <w:t xml:space="preserve">                                                                     20</w:t>
      </w:r>
      <w:r>
        <w:rPr>
          <w:rFonts w:hint="default" w:ascii="Arial"/>
          <w:sz w:val="28"/>
          <w:lang w:val="en"/>
        </w:rPr>
        <w:t>23</w:t>
      </w:r>
      <w:r>
        <w:rPr>
          <w:rFonts w:hint="eastAsia"/>
          <w:sz w:val="28"/>
        </w:rPr>
        <w:t>年</w:t>
      </w:r>
      <w:r>
        <w:rPr>
          <w:rFonts w:hint="eastAsia" w:ascii="Arial"/>
          <w:sz w:val="28"/>
        </w:rPr>
        <w:t>2</w:t>
      </w:r>
      <w:r>
        <w:rPr>
          <w:rFonts w:hint="eastAsia"/>
          <w:sz w:val="28"/>
        </w:rPr>
        <w:t>月</w:t>
      </w:r>
      <w:r>
        <w:rPr>
          <w:rFonts w:hint="eastAsia" w:ascii="Arial"/>
          <w:sz w:val="28"/>
        </w:rPr>
        <w:t>9</w:t>
      </w:r>
      <w:r>
        <w:rPr>
          <w:rFonts w:hint="eastAsia"/>
          <w:sz w:val="28"/>
        </w:rPr>
        <w:t>日</w:t>
      </w:r>
    </w:p>
    <w:p>
      <w:pPr>
        <w:tabs>
          <w:tab w:val="right" w:pos="14680"/>
        </w:tabs>
        <w:spacing w:beforeLines="0" w:afterLines="0"/>
        <w:rPr>
          <w:rFonts w:hint="default" w:ascii="Arial"/>
          <w:sz w:val="24"/>
        </w:rPr>
      </w:pPr>
      <w:r>
        <w:rPr>
          <w:rFonts w:hint="default" w:ascii="Arial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108585</wp:posOffset>
                </wp:positionV>
                <wp:extent cx="9144000" cy="21590"/>
                <wp:effectExtent l="0" t="4445" r="0" b="12065"/>
                <wp:wrapNone/>
                <wp:docPr id="2" name="鐩寸嚎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0" cy="215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鐩寸嚎 3" o:spid="_x0000_s1026" o:spt="20" style="position:absolute;left:0pt;margin-left:1.05pt;margin-top:8.55pt;height:1.7pt;width:720pt;z-index:251659264;mso-width-relative:page;mso-height-relative:page;" filled="f" stroked="t" coordsize="21600,21600" o:gfxdata="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n77791QAAAAgBAAAPAAAAAAAAAAEA&#10;IAAAACIAAABkcnMvZG93bnJldi54bWxQSwECFAAUAAAACACHTuJATjv3g9kBAACUAwAADgAAAAAA&#10;AAABACAAAAAk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pgSz w:w="16820" w:h="11900" w:orient="landscape"/>
      <w:pgMar w:top="1400" w:right="1060" w:bottom="1560" w:left="108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oNotHyphenateCaps/>
  <w:drawingGridHorizontalSpacing w:val="120"/>
  <w:drawingGridVerticalSpacing w:val="120"/>
  <w:displayHorizontalDrawingGridEvery w:val="1"/>
  <w:displayVerticalDrawingGridEvery w:val="1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E5E561F"/>
    <w:rsid w:val="6DFE39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iPriority="99" w:semiHidden="0" w:name="Normal"/>
    <w:lsdException w:uiPriority="99" w:semiHidden="0" w:name="heading 1"/>
    <w:lsdException w:qFormat="1" w:uiPriority="99" w:semiHidden="0" w:name="heading 2"/>
    <w:lsdException w:qFormat="1" w:uiPriority="99" w:semiHidden="0" w:name="heading 3"/>
    <w:lsdException w:qFormat="1" w:unhideWhenUsed="0" w:uiPriority="0" w:semiHidden="0" w:name="heading 4" w:locked="1"/>
    <w:lsdException w:qFormat="1" w:unhideWhenUsed="0" w:uiPriority="0" w:semiHidden="0" w:name="heading 5" w:locked="1"/>
    <w:lsdException w:qFormat="1" w:unhideWhenUsed="0" w:uiPriority="0" w:semiHidden="0" w:name="heading 6" w:locked="1"/>
    <w:lsdException w:qFormat="1" w:unhideWhenUsed="0" w:uiPriority="0" w:semiHidden="0" w:name="heading 7" w:locked="1"/>
    <w:lsdException w:qFormat="1" w:unhideWhenUsed="0" w:uiPriority="0" w:semiHidden="0" w:name="heading 8" w:locked="1"/>
    <w:lsdException w:qFormat="1" w:unhideWhenUsed="0" w:uiPriority="0" w:semiHidden="0" w:name="heading 9" w:locked="1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 w:locked="1"/>
    <w:lsdException w:qFormat="1" w:unhideWhenUsed="0" w:uiPriority="0" w:semiHidden="0" w:name="toc 2" w:locked="1"/>
    <w:lsdException w:qFormat="1" w:unhideWhenUsed="0" w:uiPriority="0" w:semiHidden="0" w:name="toc 3" w:locked="1"/>
    <w:lsdException w:qFormat="1" w:unhideWhenUsed="0" w:uiPriority="0" w:semiHidden="0" w:name="toc 4" w:locked="1"/>
    <w:lsdException w:qFormat="1" w:unhideWhenUsed="0" w:uiPriority="0" w:semiHidden="0" w:name="toc 5" w:locked="1"/>
    <w:lsdException w:qFormat="1" w:unhideWhenUsed="0" w:uiPriority="0" w:semiHidden="0" w:name="toc 6" w:locked="1"/>
    <w:lsdException w:qFormat="1" w:unhideWhenUsed="0" w:uiPriority="0" w:semiHidden="0" w:name="toc 7" w:locked="1"/>
    <w:lsdException w:qFormat="1" w:unhideWhenUsed="0" w:uiPriority="0" w:semiHidden="0" w:name="toc 8" w:locked="1"/>
    <w:lsdException w:qFormat="1" w:unhideWhenUsed="0" w:uiPriority="0" w:semiHidden="0" w:name="toc 9" w:locked="1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qFormat="1" w:unhideWhenUsed="0" w:uiPriority="0" w:semiHidden="0" w:name="index heading"/>
    <w:lsdException w:qFormat="1" w:uiPriority="0" w:semiHidden="0" w:name="caption" w:locked="1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 w:locked="1"/>
    <w:lsdException w:qFormat="1" w:unhideWhenUsed="0" w:uiPriority="0" w:semiHidden="0" w:name="Closing"/>
    <w:lsdException w:qFormat="1" w:unhideWhenUsed="0" w:uiPriority="0" w:semiHidden="0" w:name="Signature"/>
    <w:lsdException w:qFormat="1" w:uiPriority="99" w:semiHidden="0" w:name="Default Paragraph Font"/>
    <w:lsdException w:qFormat="1" w:uiPriority="0" w:semiHidden="0" w:name="Body Text"/>
    <w:lsdException w:qFormat="1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 w:locked="1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iPriority="99" w:semiHidden="0" w:name="Balloon Text"/>
    <w:lsdException w:qFormat="1" w:unhideWhenUsed="0" w:uiPriority="0" w:semiHidden="0" w:name="Table Grid" w:locked="1"/>
    <w:lsdException w:qFormat="1"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宋体" w:hAnsi="Arial" w:eastAsia="宋体" w:cs="Times New Roman"/>
      <w:color w:val="000000"/>
      <w:sz w:val="24"/>
      <w:lang w:val="en-US" w:eastAsia="zh-CN"/>
    </w:rPr>
  </w:style>
  <w:style w:type="paragraph" w:styleId="6">
    <w:name w:val="heading 1"/>
    <w:basedOn w:val="1"/>
    <w:next w:val="1"/>
    <w:link w:val="18"/>
    <w:unhideWhenUsed/>
    <w:uiPriority w:val="99"/>
    <w:pPr>
      <w:spacing w:beforeLines="0" w:afterLines="0"/>
      <w:outlineLvl w:val="0"/>
    </w:pPr>
    <w:rPr>
      <w:rFonts w:hint="eastAsia"/>
      <w:b/>
      <w:sz w:val="32"/>
    </w:rPr>
  </w:style>
  <w:style w:type="paragraph" w:styleId="7">
    <w:name w:val="heading 2"/>
    <w:basedOn w:val="1"/>
    <w:next w:val="1"/>
    <w:link w:val="16"/>
    <w:unhideWhenUsed/>
    <w:qFormat/>
    <w:uiPriority w:val="99"/>
    <w:pPr>
      <w:spacing w:beforeLines="0" w:afterLines="0"/>
      <w:outlineLvl w:val="1"/>
    </w:pPr>
    <w:rPr>
      <w:rFonts w:hint="eastAsia"/>
      <w:b/>
      <w:i/>
      <w:sz w:val="28"/>
    </w:rPr>
  </w:style>
  <w:style w:type="paragraph" w:styleId="8">
    <w:name w:val="heading 3"/>
    <w:basedOn w:val="1"/>
    <w:next w:val="1"/>
    <w:link w:val="17"/>
    <w:unhideWhenUsed/>
    <w:qFormat/>
    <w:uiPriority w:val="99"/>
    <w:pPr>
      <w:spacing w:beforeLines="0" w:afterLines="0"/>
      <w:outlineLvl w:val="2"/>
    </w:pPr>
    <w:rPr>
      <w:rFonts w:hint="eastAsia"/>
      <w:b/>
      <w:sz w:val="26"/>
    </w:rPr>
  </w:style>
  <w:style w:type="character" w:default="1" w:styleId="13">
    <w:name w:val="Default Paragraph Font"/>
    <w:unhideWhenUsed/>
    <w:qFormat/>
    <w:uiPriority w:val="99"/>
    <w:rPr>
      <w:rFonts w:hint="default"/>
      <w:sz w:val="24"/>
    </w:rPr>
  </w:style>
  <w:style w:type="table" w:default="1" w:styleId="12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unhideWhenUsed/>
    <w:qFormat/>
    <w:uiPriority w:val="0"/>
    <w:pPr>
      <w:spacing w:beforeLines="0" w:afterLines="0" w:line="360" w:lineRule="atLeast"/>
      <w:ind w:firstLine="210"/>
      <w:textAlignment w:val="baseline"/>
    </w:pPr>
    <w:rPr>
      <w:rFonts w:hint="eastAsia" w:ascii="Arial" w:eastAsia="楷体_GB2312"/>
      <w:sz w:val="24"/>
    </w:rPr>
  </w:style>
  <w:style w:type="paragraph" w:styleId="3">
    <w:name w:val="Body Text Indent"/>
    <w:basedOn w:val="1"/>
    <w:next w:val="4"/>
    <w:unhideWhenUsed/>
    <w:qFormat/>
    <w:uiPriority w:val="0"/>
    <w:pPr>
      <w:spacing w:beforeLines="0" w:after="120" w:afterLines="0"/>
      <w:ind w:left="200" w:leftChars="200"/>
    </w:pPr>
    <w:rPr>
      <w:rFonts w:hint="eastAsia"/>
      <w:sz w:val="24"/>
    </w:rPr>
  </w:style>
  <w:style w:type="paragraph" w:styleId="4">
    <w:name w:val="caption"/>
    <w:basedOn w:val="1"/>
    <w:next w:val="1"/>
    <w:unhideWhenUsed/>
    <w:qFormat/>
    <w:locked/>
    <w:uiPriority w:val="0"/>
    <w:pPr>
      <w:spacing w:beforeLines="0" w:afterLines="0"/>
    </w:pPr>
    <w:rPr>
      <w:rFonts w:hint="eastAsia" w:ascii="黑体" w:eastAsia="黑体"/>
      <w:sz w:val="20"/>
    </w:rPr>
  </w:style>
  <w:style w:type="paragraph" w:styleId="5">
    <w:name w:val="Body Text"/>
    <w:basedOn w:val="1"/>
    <w:next w:val="1"/>
    <w:unhideWhenUsed/>
    <w:qFormat/>
    <w:uiPriority w:val="0"/>
    <w:pPr>
      <w:spacing w:beforeLines="0" w:afterLines="0" w:line="520" w:lineRule="exact"/>
    </w:pPr>
    <w:rPr>
      <w:rFonts w:hint="eastAsia"/>
      <w:sz w:val="18"/>
    </w:rPr>
  </w:style>
  <w:style w:type="paragraph" w:styleId="9">
    <w:name w:val="Balloon Text"/>
    <w:basedOn w:val="1"/>
    <w:link w:val="15"/>
    <w:unhideWhenUsed/>
    <w:qFormat/>
    <w:uiPriority w:val="99"/>
    <w:pPr>
      <w:spacing w:beforeLines="0" w:afterLines="0"/>
    </w:pPr>
    <w:rPr>
      <w:rFonts w:hint="eastAsia"/>
      <w:sz w:val="18"/>
    </w:rPr>
  </w:style>
  <w:style w:type="paragraph" w:styleId="10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spacing w:beforeLines="0" w:afterLines="0"/>
    </w:pPr>
    <w:rPr>
      <w:rFonts w:hint="eastAsia"/>
      <w:sz w:val="18"/>
    </w:rPr>
  </w:style>
  <w:style w:type="paragraph" w:styleId="11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eastAsia"/>
      <w:sz w:val="18"/>
    </w:rPr>
  </w:style>
  <w:style w:type="character" w:customStyle="1" w:styleId="14">
    <w:name w:val="页眉 Char"/>
    <w:basedOn w:val="13"/>
    <w:link w:val="11"/>
    <w:unhideWhenUsed/>
    <w:qFormat/>
    <w:locked/>
    <w:uiPriority w:val="99"/>
    <w:rPr>
      <w:rFonts w:hint="default" w:ascii="Arial" w:hAnsi="Times New Roman" w:eastAsia="宋体"/>
      <w:color w:val="000000"/>
      <w:sz w:val="18"/>
    </w:rPr>
  </w:style>
  <w:style w:type="character" w:customStyle="1" w:styleId="15">
    <w:name w:val="批注框文本 Char"/>
    <w:basedOn w:val="13"/>
    <w:link w:val="9"/>
    <w:unhideWhenUsed/>
    <w:qFormat/>
    <w:locked/>
    <w:uiPriority w:val="99"/>
    <w:rPr>
      <w:rFonts w:hint="default" w:ascii="Arial" w:hAnsi="Times New Roman" w:eastAsia="宋体"/>
      <w:color w:val="000000"/>
      <w:sz w:val="18"/>
    </w:rPr>
  </w:style>
  <w:style w:type="character" w:customStyle="1" w:styleId="16">
    <w:name w:val="标题 2 Char"/>
    <w:basedOn w:val="13"/>
    <w:link w:val="7"/>
    <w:unhideWhenUsed/>
    <w:qFormat/>
    <w:locked/>
    <w:uiPriority w:val="99"/>
    <w:rPr>
      <w:rFonts w:hint="eastAsia" w:ascii="宋体" w:hAnsi="Cambria" w:eastAsia="宋体"/>
      <w:b/>
      <w:color w:val="000000"/>
      <w:sz w:val="32"/>
    </w:rPr>
  </w:style>
  <w:style w:type="character" w:customStyle="1" w:styleId="17">
    <w:name w:val="标题 3 Char"/>
    <w:basedOn w:val="13"/>
    <w:link w:val="8"/>
    <w:unhideWhenUsed/>
    <w:qFormat/>
    <w:locked/>
    <w:uiPriority w:val="99"/>
    <w:rPr>
      <w:rFonts w:hint="default" w:ascii="Arial" w:hAnsi="Times New Roman" w:eastAsia="宋体"/>
      <w:b/>
      <w:color w:val="000000"/>
      <w:sz w:val="32"/>
    </w:rPr>
  </w:style>
  <w:style w:type="character" w:customStyle="1" w:styleId="18">
    <w:name w:val="标题 1 Char"/>
    <w:basedOn w:val="13"/>
    <w:link w:val="6"/>
    <w:unhideWhenUsed/>
    <w:qFormat/>
    <w:locked/>
    <w:uiPriority w:val="99"/>
    <w:rPr>
      <w:rFonts w:hint="default" w:ascii="Arial" w:hAnsi="Times New Roman" w:eastAsia="宋体"/>
      <w:b/>
      <w:color w:val="000000"/>
      <w:kern w:val="44"/>
      <w:sz w:val="44"/>
    </w:rPr>
  </w:style>
  <w:style w:type="character" w:customStyle="1" w:styleId="19">
    <w:name w:val="页脚 Char"/>
    <w:basedOn w:val="13"/>
    <w:link w:val="10"/>
    <w:unhideWhenUsed/>
    <w:qFormat/>
    <w:locked/>
    <w:uiPriority w:val="99"/>
    <w:rPr>
      <w:rFonts w:hint="default" w:ascii="Arial" w:hAnsi="Times New Roman" w:eastAsia="宋体"/>
      <w:color w:val="000000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Office_11.8.2.8555_F1E327BC-269C-435d-A152-05C5408002CA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2023-02-09T08:32:00Z</dcterms:created>
  <dc:creator>admin</dc:creator>
  <cp:lastModifiedBy>谢全荣</cp:lastModifiedBy>
  <dcterms:modified xsi:type="dcterms:W3CDTF">2023-02-10T00:49:21Z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