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13" w:rsidRDefault="00593213" w:rsidP="00593213">
      <w:pPr>
        <w:spacing w:line="600" w:lineRule="exact"/>
        <w:rPr>
          <w:rFonts w:ascii="黑体" w:eastAsia="黑体" w:cs="黑体"/>
          <w:szCs w:val="32"/>
        </w:rPr>
      </w:pPr>
      <w:r>
        <w:rPr>
          <w:rFonts w:ascii="黑体" w:eastAsia="黑体" w:cs="黑体" w:hint="eastAsia"/>
          <w:szCs w:val="32"/>
        </w:rPr>
        <w:t>附件</w:t>
      </w:r>
    </w:p>
    <w:p w:rsidR="00593213" w:rsidRDefault="00593213" w:rsidP="00593213">
      <w:pPr>
        <w:spacing w:line="600" w:lineRule="exact"/>
        <w:rPr>
          <w:rFonts w:ascii="黑体" w:eastAsia="黑体" w:cs="黑体"/>
          <w:szCs w:val="32"/>
        </w:rPr>
      </w:pPr>
    </w:p>
    <w:p w:rsidR="00593213" w:rsidRDefault="00593213" w:rsidP="00593213">
      <w:pPr>
        <w:spacing w:line="600" w:lineRule="exact"/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spacing w:val="-6"/>
          <w:sz w:val="44"/>
          <w:szCs w:val="44"/>
        </w:rPr>
        <w:t>二级安全生产标准化管理体系达标煤矿名单</w:t>
      </w:r>
      <w:bookmarkEnd w:id="0"/>
    </w:p>
    <w:p w:rsidR="00593213" w:rsidRDefault="00593213" w:rsidP="00593213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12"/>
        <w:gridCol w:w="1353"/>
        <w:gridCol w:w="5284"/>
        <w:gridCol w:w="1695"/>
      </w:tblGrid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序号</w:t>
            </w:r>
          </w:p>
        </w:tc>
        <w:tc>
          <w:tcPr>
            <w:tcW w:w="1353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地市</w:t>
            </w:r>
          </w:p>
        </w:tc>
        <w:tc>
          <w:tcPr>
            <w:tcW w:w="5284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矿井名称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备注</w:t>
            </w: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sz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sz w:val="24"/>
              </w:rPr>
              <w:t>咸阳市</w:t>
            </w:r>
          </w:p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sz w:val="24"/>
              </w:rPr>
              <w:t>（</w:t>
            </w:r>
            <w:r>
              <w:rPr>
                <w:rFonts w:ascii="仿宋" w:hAnsi="仿宋" w:cs="仿宋" w:hint="eastAsia"/>
                <w:sz w:val="24"/>
              </w:rPr>
              <w:t>1</w:t>
            </w:r>
            <w:r>
              <w:rPr>
                <w:rFonts w:ascii="仿宋" w:cs="仿宋" w:hint="eastAsia"/>
                <w:sz w:val="24"/>
              </w:rPr>
              <w:t>处）</w:t>
            </w:r>
          </w:p>
        </w:tc>
        <w:tc>
          <w:tcPr>
            <w:tcW w:w="5284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彬县煤炭有限责任公司蒋家河煤矿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2</w:t>
            </w:r>
          </w:p>
        </w:tc>
        <w:tc>
          <w:tcPr>
            <w:tcW w:w="1353" w:type="dxa"/>
            <w:vMerge w:val="restart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sz w:val="24"/>
              </w:rPr>
              <w:t>榆林市</w:t>
            </w:r>
          </w:p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sz w:val="24"/>
              </w:rPr>
              <w:t>（8处）</w:t>
            </w:r>
          </w:p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府谷县老高川恒益煤矿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府谷县建新煤矿有限公司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4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神木市百吉矿业有限责任公司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5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神木县隆德矿业有限责任公司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6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府谷县能东煤矿有限公司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7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府谷县东峰煤矿有限公司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8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widowControl/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何家塔上组煤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  <w:tr w:rsidR="00593213" w:rsidTr="009C38DB">
        <w:trPr>
          <w:trHeight w:val="624"/>
          <w:jc w:val="center"/>
        </w:trPr>
        <w:tc>
          <w:tcPr>
            <w:tcW w:w="812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9</w:t>
            </w:r>
          </w:p>
        </w:tc>
        <w:tc>
          <w:tcPr>
            <w:tcW w:w="1353" w:type="dxa"/>
            <w:vMerge/>
            <w:vAlign w:val="center"/>
          </w:tcPr>
          <w:p w:rsidR="00593213" w:rsidRDefault="00593213" w:rsidP="009C38DB"/>
        </w:tc>
        <w:tc>
          <w:tcPr>
            <w:tcW w:w="5284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  <w:r>
              <w:rPr>
                <w:rFonts w:ascii="仿宋" w:cs="仿宋" w:hint="eastAsia"/>
                <w:color w:val="000000"/>
                <w:kern w:val="0"/>
                <w:sz w:val="24"/>
              </w:rPr>
              <w:t>陕西竹园嘉原矿业有限公司</w:t>
            </w:r>
          </w:p>
        </w:tc>
        <w:tc>
          <w:tcPr>
            <w:tcW w:w="1695" w:type="dxa"/>
            <w:vAlign w:val="center"/>
          </w:tcPr>
          <w:p w:rsidR="00593213" w:rsidRDefault="00593213" w:rsidP="009C38DB">
            <w:pPr>
              <w:spacing w:line="300" w:lineRule="exact"/>
              <w:jc w:val="center"/>
              <w:rPr>
                <w:rFonts w:ascii="仿宋" w:cs="仿宋"/>
                <w:sz w:val="24"/>
              </w:rPr>
            </w:pPr>
          </w:p>
        </w:tc>
      </w:tr>
    </w:tbl>
    <w:p w:rsidR="003907FE" w:rsidRPr="00593213" w:rsidRDefault="003907FE"/>
    <w:sectPr w:rsidR="003907FE" w:rsidRPr="00593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3C" w:rsidRDefault="000B053C" w:rsidP="00593213">
      <w:r>
        <w:separator/>
      </w:r>
    </w:p>
  </w:endnote>
  <w:endnote w:type="continuationSeparator" w:id="0">
    <w:p w:rsidR="000B053C" w:rsidRDefault="000B053C" w:rsidP="0059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3C" w:rsidRDefault="000B053C" w:rsidP="00593213">
      <w:r>
        <w:separator/>
      </w:r>
    </w:p>
  </w:footnote>
  <w:footnote w:type="continuationSeparator" w:id="0">
    <w:p w:rsidR="000B053C" w:rsidRDefault="000B053C" w:rsidP="0059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1F"/>
    <w:rsid w:val="000028DA"/>
    <w:rsid w:val="0000683F"/>
    <w:rsid w:val="000700F0"/>
    <w:rsid w:val="000A2A9E"/>
    <w:rsid w:val="000B053C"/>
    <w:rsid w:val="000D3F06"/>
    <w:rsid w:val="0013066B"/>
    <w:rsid w:val="0015697B"/>
    <w:rsid w:val="00162592"/>
    <w:rsid w:val="001908AA"/>
    <w:rsid w:val="001F2FA8"/>
    <w:rsid w:val="001F587D"/>
    <w:rsid w:val="0020404C"/>
    <w:rsid w:val="002627AA"/>
    <w:rsid w:val="002776DE"/>
    <w:rsid w:val="002C1850"/>
    <w:rsid w:val="002C492C"/>
    <w:rsid w:val="002F3DCF"/>
    <w:rsid w:val="00343C01"/>
    <w:rsid w:val="00344951"/>
    <w:rsid w:val="003907FE"/>
    <w:rsid w:val="003B3102"/>
    <w:rsid w:val="003E1081"/>
    <w:rsid w:val="00435490"/>
    <w:rsid w:val="0046322F"/>
    <w:rsid w:val="0047725E"/>
    <w:rsid w:val="00490789"/>
    <w:rsid w:val="00496F84"/>
    <w:rsid w:val="004B5DF3"/>
    <w:rsid w:val="00525E2E"/>
    <w:rsid w:val="0052713F"/>
    <w:rsid w:val="00574907"/>
    <w:rsid w:val="00593213"/>
    <w:rsid w:val="005E3CDB"/>
    <w:rsid w:val="005F688E"/>
    <w:rsid w:val="006522CB"/>
    <w:rsid w:val="00685FCE"/>
    <w:rsid w:val="006D2696"/>
    <w:rsid w:val="006D49D0"/>
    <w:rsid w:val="006F1584"/>
    <w:rsid w:val="00701355"/>
    <w:rsid w:val="0075181C"/>
    <w:rsid w:val="00774C4B"/>
    <w:rsid w:val="00787402"/>
    <w:rsid w:val="007F421F"/>
    <w:rsid w:val="0082750B"/>
    <w:rsid w:val="008C7786"/>
    <w:rsid w:val="00930513"/>
    <w:rsid w:val="00941AC5"/>
    <w:rsid w:val="009615A8"/>
    <w:rsid w:val="00973B9B"/>
    <w:rsid w:val="00985292"/>
    <w:rsid w:val="00986204"/>
    <w:rsid w:val="009B0DBA"/>
    <w:rsid w:val="009C7DF8"/>
    <w:rsid w:val="00A71931"/>
    <w:rsid w:val="00AA0CD9"/>
    <w:rsid w:val="00AB10D6"/>
    <w:rsid w:val="00AB665A"/>
    <w:rsid w:val="00B47B95"/>
    <w:rsid w:val="00B55E26"/>
    <w:rsid w:val="00B619BB"/>
    <w:rsid w:val="00B7278F"/>
    <w:rsid w:val="00B913BE"/>
    <w:rsid w:val="00BA2169"/>
    <w:rsid w:val="00BC6411"/>
    <w:rsid w:val="00BE06C2"/>
    <w:rsid w:val="00C04D50"/>
    <w:rsid w:val="00C76F98"/>
    <w:rsid w:val="00CA0E47"/>
    <w:rsid w:val="00D028C9"/>
    <w:rsid w:val="00D33A31"/>
    <w:rsid w:val="00D35EA9"/>
    <w:rsid w:val="00D5569A"/>
    <w:rsid w:val="00D73979"/>
    <w:rsid w:val="00DB2C79"/>
    <w:rsid w:val="00DF1E8E"/>
    <w:rsid w:val="00E319A7"/>
    <w:rsid w:val="00EB29FA"/>
    <w:rsid w:val="00F05E38"/>
    <w:rsid w:val="00F33447"/>
    <w:rsid w:val="00F36026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7E987-FDAB-44B8-A13E-B569BE8B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3213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3213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593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593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2023-01-30T07:10:00Z</dcterms:created>
  <dcterms:modified xsi:type="dcterms:W3CDTF">2023-01-30T07:10:00Z</dcterms:modified>
</cp:coreProperties>
</file>