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3F" w:rsidRDefault="00F7313F" w:rsidP="00F7313F">
      <w:pPr>
        <w:spacing w:line="440" w:lineRule="exact"/>
        <w:rPr>
          <w:rFonts w:ascii="黑体" w:eastAsia="黑体" w:hAnsi="黑体" w:cs="仿宋"/>
          <w:color w:val="000000" w:themeColor="text1"/>
          <w:szCs w:val="32"/>
        </w:rPr>
      </w:pPr>
      <w:r>
        <w:rPr>
          <w:rFonts w:ascii="黑体" w:eastAsia="黑体" w:hAnsi="黑体" w:cs="仿宋"/>
          <w:color w:val="000000" w:themeColor="text1"/>
          <w:szCs w:val="32"/>
        </w:rPr>
        <w:t>附件</w:t>
      </w:r>
    </w:p>
    <w:p w:rsidR="00F7313F" w:rsidRDefault="00F7313F" w:rsidP="00F7313F">
      <w:pPr>
        <w:spacing w:line="440" w:lineRule="exact"/>
        <w:rPr>
          <w:rFonts w:ascii="仿宋" w:hAnsi="仿宋" w:cs="仿宋"/>
          <w:color w:val="000000" w:themeColor="text1"/>
          <w:szCs w:val="32"/>
        </w:rPr>
      </w:pPr>
    </w:p>
    <w:p w:rsidR="00F7313F" w:rsidRDefault="00F7313F" w:rsidP="00F7313F">
      <w:pPr>
        <w:spacing w:line="440" w:lineRule="exact"/>
        <w:jc w:val="center"/>
        <w:rPr>
          <w:rFonts w:ascii="方正小标宋简体" w:eastAsia="方正小标宋简体" w:hAnsi="仿宋" w:cs="仿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 w:themeColor="text1"/>
          <w:sz w:val="44"/>
          <w:szCs w:val="44"/>
        </w:rPr>
        <w:t>陕西省非煤矿山安全宣讲教育活动安排表</w:t>
      </w:r>
    </w:p>
    <w:p w:rsidR="00F7313F" w:rsidRDefault="00F7313F" w:rsidP="00F7313F">
      <w:pPr>
        <w:spacing w:line="440" w:lineRule="exact"/>
        <w:jc w:val="center"/>
        <w:rPr>
          <w:rFonts w:ascii="方正小标宋简体" w:eastAsia="方正小标宋简体" w:hAnsi="仿宋" w:cs="仿宋"/>
          <w:color w:val="000000" w:themeColor="text1"/>
          <w:sz w:val="44"/>
          <w:szCs w:val="44"/>
        </w:rPr>
      </w:pPr>
    </w:p>
    <w:tbl>
      <w:tblPr>
        <w:tblStyle w:val="a6"/>
        <w:tblW w:w="13654" w:type="dxa"/>
        <w:tblInd w:w="62" w:type="dxa"/>
        <w:tblLayout w:type="fixed"/>
        <w:tblLook w:val="04A0" w:firstRow="1" w:lastRow="0" w:firstColumn="1" w:lastColumn="0" w:noHBand="0" w:noVBand="1"/>
      </w:tblPr>
      <w:tblGrid>
        <w:gridCol w:w="2173"/>
        <w:gridCol w:w="3685"/>
        <w:gridCol w:w="6412"/>
        <w:gridCol w:w="1384"/>
      </w:tblGrid>
      <w:tr w:rsidR="00F7313F" w:rsidTr="0016200B">
        <w:trPr>
          <w:trHeight w:val="430"/>
        </w:trPr>
        <w:tc>
          <w:tcPr>
            <w:tcW w:w="2173" w:type="dxa"/>
            <w:vAlign w:val="center"/>
          </w:tcPr>
          <w:p w:rsidR="00F7313F" w:rsidRDefault="00F7313F" w:rsidP="0016200B">
            <w:pPr>
              <w:spacing w:line="300" w:lineRule="exact"/>
              <w:jc w:val="center"/>
              <w:rPr>
                <w:rFonts w:ascii="黑体" w:eastAsia="黑体" w:hAnsi="黑体" w:cs="仿宋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仿宋"/>
                <w:color w:val="000000" w:themeColor="text1"/>
                <w:sz w:val="24"/>
                <w:szCs w:val="24"/>
              </w:rPr>
              <w:t>主要安排</w:t>
            </w:r>
          </w:p>
        </w:tc>
        <w:tc>
          <w:tcPr>
            <w:tcW w:w="3685" w:type="dxa"/>
            <w:vAlign w:val="center"/>
          </w:tcPr>
          <w:p w:rsidR="00F7313F" w:rsidRDefault="00F7313F" w:rsidP="0016200B">
            <w:pPr>
              <w:spacing w:line="300" w:lineRule="exact"/>
              <w:jc w:val="center"/>
              <w:rPr>
                <w:rFonts w:ascii="黑体" w:eastAsia="黑体" w:hAnsi="黑体" w:cs="仿宋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仿宋"/>
                <w:color w:val="000000" w:themeColor="text1"/>
                <w:sz w:val="24"/>
                <w:szCs w:val="24"/>
              </w:rPr>
              <w:t>宣讲内容</w:t>
            </w:r>
          </w:p>
        </w:tc>
        <w:tc>
          <w:tcPr>
            <w:tcW w:w="6412" w:type="dxa"/>
            <w:vAlign w:val="center"/>
          </w:tcPr>
          <w:p w:rsidR="00F7313F" w:rsidRDefault="00F7313F" w:rsidP="0016200B">
            <w:pPr>
              <w:spacing w:line="300" w:lineRule="exact"/>
              <w:jc w:val="center"/>
              <w:rPr>
                <w:rFonts w:ascii="黑体" w:eastAsia="黑体" w:hAnsi="黑体" w:cs="仿宋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仿宋"/>
                <w:color w:val="000000" w:themeColor="text1"/>
                <w:sz w:val="24"/>
                <w:szCs w:val="24"/>
              </w:rPr>
              <w:t>宣讲</w:t>
            </w:r>
            <w:r>
              <w:rPr>
                <w:rFonts w:ascii="黑体" w:eastAsia="黑体" w:hAnsi="黑体" w:cs="仿宋" w:hint="eastAsia"/>
                <w:color w:val="000000" w:themeColor="text1"/>
                <w:sz w:val="24"/>
                <w:szCs w:val="24"/>
              </w:rPr>
              <w:t>方式</w:t>
            </w:r>
          </w:p>
        </w:tc>
        <w:tc>
          <w:tcPr>
            <w:tcW w:w="1384" w:type="dxa"/>
            <w:vAlign w:val="center"/>
          </w:tcPr>
          <w:p w:rsidR="00F7313F" w:rsidRDefault="00F7313F" w:rsidP="0016200B">
            <w:pPr>
              <w:spacing w:line="300" w:lineRule="exact"/>
              <w:jc w:val="center"/>
              <w:rPr>
                <w:rFonts w:ascii="黑体" w:eastAsia="黑体" w:hAnsi="黑体" w:cs="仿宋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仿宋"/>
                <w:color w:val="000000" w:themeColor="text1"/>
                <w:sz w:val="24"/>
                <w:szCs w:val="24"/>
              </w:rPr>
              <w:t>宣讲</w:t>
            </w:r>
            <w:r>
              <w:rPr>
                <w:rFonts w:ascii="黑体" w:eastAsia="黑体" w:hAnsi="黑体" w:cs="仿宋" w:hint="eastAsia"/>
                <w:color w:val="000000" w:themeColor="text1"/>
                <w:sz w:val="24"/>
                <w:szCs w:val="24"/>
              </w:rPr>
              <w:t>时间</w:t>
            </w:r>
          </w:p>
        </w:tc>
      </w:tr>
      <w:tr w:rsidR="00F7313F" w:rsidTr="0016200B">
        <w:trPr>
          <w:trHeight w:val="1656"/>
        </w:trPr>
        <w:tc>
          <w:tcPr>
            <w:tcW w:w="2173" w:type="dxa"/>
            <w:vMerge w:val="restart"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24"/>
                <w:szCs w:val="24"/>
              </w:rPr>
              <w:t>（一）宣讲</w:t>
            </w:r>
            <w:r>
              <w:rPr>
                <w:rFonts w:ascii="楷体" w:eastAsia="楷体" w:hAnsi="楷体" w:cs="仿宋"/>
                <w:color w:val="000000" w:themeColor="text1"/>
                <w:sz w:val="24"/>
                <w:szCs w:val="24"/>
              </w:rPr>
              <w:t>习近平总书记关于安全生产重要论述</w:t>
            </w:r>
          </w:p>
        </w:tc>
        <w:tc>
          <w:tcPr>
            <w:tcW w:w="3685" w:type="dxa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习近平总书记关于安全生产重要论述和重要指示批示精神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412" w:type="dxa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1.由省应急厅分管非煤矿山安全监管部门的领导主讲；</w:t>
            </w:r>
          </w:p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2.在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省应急厅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512会议室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设主会场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，省厅工矿商贸安全监督管理处全体人员、省非煤矿山重点企业主要负责人和分管安全工作的领导参会；</w:t>
            </w:r>
          </w:p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在各市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县设分会场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非煤矿山安全监管人员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当地非煤矿山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“关键人”参会，有条件的可适当扩大范围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384" w:type="dxa"/>
            <w:vMerge w:val="restart"/>
            <w:vAlign w:val="center"/>
          </w:tcPr>
          <w:p w:rsidR="00F7313F" w:rsidRDefault="00F7313F" w:rsidP="0016200B">
            <w:pPr>
              <w:spacing w:line="26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11月中旬</w:t>
            </w:r>
          </w:p>
        </w:tc>
      </w:tr>
      <w:tr w:rsidR="00F7313F" w:rsidTr="0016200B">
        <w:trPr>
          <w:trHeight w:val="1123"/>
        </w:trPr>
        <w:tc>
          <w:tcPr>
            <w:tcW w:w="2173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观看《生命重于泰山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--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学习习近平总书记关于安全生产重要论述》电视专题片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412" w:type="dxa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1.提前安排全省非煤矿山企业“关键人”在本单位观看专题片；</w:t>
            </w:r>
          </w:p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2.在省厅512会议室，组织省非煤矿山重点企业主要负责同志谈学习体会。</w:t>
            </w:r>
          </w:p>
        </w:tc>
        <w:tc>
          <w:tcPr>
            <w:tcW w:w="1384" w:type="dxa"/>
            <w:vMerge/>
            <w:vAlign w:val="center"/>
          </w:tcPr>
          <w:p w:rsidR="00F7313F" w:rsidRDefault="00F7313F" w:rsidP="0016200B">
            <w:pPr>
              <w:spacing w:line="26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F7313F" w:rsidTr="0016200B">
        <w:trPr>
          <w:trHeight w:val="1190"/>
        </w:trPr>
        <w:tc>
          <w:tcPr>
            <w:tcW w:w="2173" w:type="dxa"/>
            <w:vMerge w:val="restart"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24"/>
                <w:szCs w:val="24"/>
              </w:rPr>
              <w:t>（二）</w:t>
            </w:r>
            <w:r>
              <w:rPr>
                <w:rFonts w:ascii="楷体" w:eastAsia="楷体" w:hAnsi="楷体" w:cs="仿宋"/>
                <w:color w:val="000000" w:themeColor="text1"/>
                <w:sz w:val="24"/>
                <w:szCs w:val="24"/>
              </w:rPr>
              <w:t>讲政策法规</w:t>
            </w:r>
          </w:p>
        </w:tc>
        <w:tc>
          <w:tcPr>
            <w:tcW w:w="3685" w:type="dxa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新《安全生产法》《刑法修正案（十一）》《国务院关于特大安全事故行政责任追究的规定》等法律法规和有关重要文件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412" w:type="dxa"/>
            <w:vMerge w:val="restart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1.聘请有关专家教授主讲；</w:t>
            </w:r>
            <w:bookmarkStart w:id="0" w:name="_GoBack"/>
            <w:bookmarkEnd w:id="0"/>
          </w:p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2.在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省应急厅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512会议室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设主会场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，省厅工矿商贸安全监督管理处全体人员、省非煤矿山重点企业主要负责人和分管安全工作的领导参会；</w:t>
            </w:r>
          </w:p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在各市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县设分会场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非煤矿山安全监管人员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当地非煤矿山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“关键人”参会，有条件的可适当扩大范围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384" w:type="dxa"/>
            <w:vMerge w:val="restart"/>
            <w:vAlign w:val="center"/>
          </w:tcPr>
          <w:p w:rsidR="00F7313F" w:rsidRDefault="00F7313F" w:rsidP="0016200B">
            <w:pPr>
              <w:spacing w:line="26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11月下旬</w:t>
            </w:r>
          </w:p>
        </w:tc>
      </w:tr>
      <w:tr w:rsidR="00F7313F" w:rsidTr="0016200B">
        <w:trPr>
          <w:trHeight w:val="915"/>
        </w:trPr>
        <w:tc>
          <w:tcPr>
            <w:tcW w:w="2173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安全生产专项整治三年行动集中攻坚的目标、要求、任务和措施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412" w:type="dxa"/>
            <w:vMerge/>
            <w:vAlign w:val="center"/>
          </w:tcPr>
          <w:p w:rsidR="00F7313F" w:rsidRDefault="00F7313F" w:rsidP="0016200B">
            <w:pPr>
              <w:pStyle w:val="a7"/>
              <w:spacing w:line="260" w:lineRule="exact"/>
              <w:ind w:firstLineChars="0" w:firstLine="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F7313F" w:rsidRDefault="00F7313F" w:rsidP="0016200B">
            <w:pPr>
              <w:spacing w:line="26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F7313F" w:rsidTr="0016200B">
        <w:trPr>
          <w:trHeight w:val="1400"/>
        </w:trPr>
        <w:tc>
          <w:tcPr>
            <w:tcW w:w="2173" w:type="dxa"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24"/>
                <w:szCs w:val="24"/>
              </w:rPr>
              <w:t>（三）</w:t>
            </w:r>
            <w:r>
              <w:rPr>
                <w:rFonts w:ascii="楷体" w:eastAsia="楷体" w:hAnsi="楷体" w:cs="仿宋"/>
                <w:color w:val="000000" w:themeColor="text1"/>
                <w:sz w:val="24"/>
                <w:szCs w:val="24"/>
              </w:rPr>
              <w:t>讲责任落实</w:t>
            </w:r>
          </w:p>
        </w:tc>
        <w:tc>
          <w:tcPr>
            <w:tcW w:w="3685" w:type="dxa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解读《金属非金属矿山安全规程》《金属非金属矿山重大生产安全事故隐患判定标准（试行）》及相关专业细则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412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F7313F" w:rsidRDefault="00F7313F" w:rsidP="0016200B">
            <w:pPr>
              <w:spacing w:line="26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F7313F" w:rsidTr="0016200B">
        <w:trPr>
          <w:trHeight w:val="1940"/>
        </w:trPr>
        <w:tc>
          <w:tcPr>
            <w:tcW w:w="2173" w:type="dxa"/>
            <w:vMerge w:val="restart"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24"/>
                <w:szCs w:val="24"/>
              </w:rPr>
              <w:lastRenderedPageBreak/>
              <w:t>（三）</w:t>
            </w:r>
            <w:r>
              <w:rPr>
                <w:rFonts w:ascii="楷体" w:eastAsia="楷体" w:hAnsi="楷体" w:cs="仿宋"/>
                <w:color w:val="000000" w:themeColor="text1"/>
                <w:sz w:val="24"/>
                <w:szCs w:val="24"/>
              </w:rPr>
              <w:t>讲责任落实</w:t>
            </w:r>
          </w:p>
        </w:tc>
        <w:tc>
          <w:tcPr>
            <w:tcW w:w="3685" w:type="dxa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矿山安全生产标准化、风险分级管控和隐患排查治理双重预防机制建设、安全生产责任制度、主要负责人和技术负责人责任、上级公司责任以及技术管理和业务保安等方面要求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412" w:type="dxa"/>
            <w:vMerge w:val="restart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结合召开加快推进全省非煤矿山“四化”建设现场会，组织全省非煤矿山安全监管人员、省非煤矿山重点企业“关键人”现场观摩，并围绕宣讲主体，采取现场大讨论、现身说法等形式，促进宣讲内容入心入脑入行动。</w:t>
            </w:r>
          </w:p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1.非煤矿山安全生产先进单位，就“讲责任落实”的“2、3”项内容，交流心得体会。</w:t>
            </w:r>
          </w:p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2.近几年事故企业就“讲灾害治理”的“1、2”项内容，分析本地区矿山安全生产事故特点，谈重大灾害防治、事故隐患整治做法；</w:t>
            </w:r>
          </w:p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3.非煤矿山“四化”建设观摩单位交流建设成果。</w:t>
            </w:r>
          </w:p>
        </w:tc>
        <w:tc>
          <w:tcPr>
            <w:tcW w:w="1384" w:type="dxa"/>
            <w:vMerge w:val="restart"/>
            <w:vAlign w:val="center"/>
          </w:tcPr>
          <w:p w:rsidR="00F7313F" w:rsidRDefault="00F7313F" w:rsidP="0016200B">
            <w:pPr>
              <w:spacing w:line="26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12月份</w:t>
            </w:r>
          </w:p>
        </w:tc>
      </w:tr>
      <w:tr w:rsidR="00F7313F" w:rsidTr="0016200B">
        <w:trPr>
          <w:trHeight w:val="1113"/>
        </w:trPr>
        <w:tc>
          <w:tcPr>
            <w:tcW w:w="2173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矿山整合技改、承包托管、复工复产、劳动用工等方面的安全管理要求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412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F7313F" w:rsidTr="0016200B">
        <w:trPr>
          <w:trHeight w:val="572"/>
        </w:trPr>
        <w:tc>
          <w:tcPr>
            <w:tcW w:w="2173" w:type="dxa"/>
            <w:vMerge w:val="restart"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24"/>
                <w:szCs w:val="24"/>
              </w:rPr>
              <w:t>（四）</w:t>
            </w:r>
            <w:r>
              <w:rPr>
                <w:rFonts w:ascii="楷体" w:eastAsia="楷体" w:hAnsi="楷体" w:cs="仿宋"/>
                <w:color w:val="000000" w:themeColor="text1"/>
                <w:sz w:val="24"/>
                <w:szCs w:val="24"/>
              </w:rPr>
              <w:t>讲灾害治理</w:t>
            </w:r>
          </w:p>
        </w:tc>
        <w:tc>
          <w:tcPr>
            <w:tcW w:w="3685" w:type="dxa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矿山重大灾害防治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412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F7313F" w:rsidTr="0016200B">
        <w:trPr>
          <w:trHeight w:val="1043"/>
        </w:trPr>
        <w:tc>
          <w:tcPr>
            <w:tcW w:w="2173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楷体" w:eastAsia="楷体" w:hAnsi="楷体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分析本地区近年来矿山生产安全事故特点及重大事故隐患查处情况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412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F7313F" w:rsidTr="0016200B">
        <w:trPr>
          <w:trHeight w:val="967"/>
        </w:trPr>
        <w:tc>
          <w:tcPr>
            <w:tcW w:w="2173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楷体" w:eastAsia="楷体" w:hAnsi="楷体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7313F" w:rsidRDefault="00F7313F" w:rsidP="0016200B">
            <w:pPr>
              <w:spacing w:line="260" w:lineRule="exact"/>
              <w:ind w:firstLineChars="200" w:firstLine="480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 xml:space="preserve"> 讲解非煤矿山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机械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化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自动化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信息化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智能化建设新成果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412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F7313F" w:rsidTr="0016200B">
        <w:trPr>
          <w:trHeight w:val="967"/>
        </w:trPr>
        <w:tc>
          <w:tcPr>
            <w:tcW w:w="2173" w:type="dxa"/>
            <w:vAlign w:val="center"/>
          </w:tcPr>
          <w:p w:rsidR="00F7313F" w:rsidRDefault="00F7313F" w:rsidP="0016200B">
            <w:pPr>
              <w:spacing w:line="260" w:lineRule="exact"/>
              <w:jc w:val="center"/>
              <w:rPr>
                <w:rFonts w:ascii="楷体" w:eastAsia="楷体" w:hAnsi="楷体" w:cs="仿宋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仿宋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11481" w:type="dxa"/>
            <w:gridSpan w:val="3"/>
            <w:vAlign w:val="center"/>
          </w:tcPr>
          <w:p w:rsidR="00F7313F" w:rsidRDefault="00F7313F" w:rsidP="0016200B">
            <w:pPr>
              <w:spacing w:line="26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zCs w:val="24"/>
              </w:rPr>
              <w:t>以上宣教活动安排</w:t>
            </w: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，将根据疫情防控形势变化作适当调整，具体时间另行通知。</w:t>
            </w:r>
          </w:p>
        </w:tc>
      </w:tr>
    </w:tbl>
    <w:p w:rsidR="00F7313F" w:rsidRDefault="00F7313F" w:rsidP="00F7313F">
      <w:pPr>
        <w:rPr>
          <w:rFonts w:hint="eastAsia"/>
        </w:rPr>
        <w:sectPr w:rsidR="00F7313F">
          <w:pgSz w:w="16838" w:h="11906" w:orient="landscape"/>
          <w:pgMar w:top="1588" w:right="1701" w:bottom="1588" w:left="1588" w:header="851" w:footer="992" w:gutter="0"/>
          <w:pgNumType w:fmt="numberInDash"/>
          <w:cols w:space="425"/>
          <w:docGrid w:type="lines" w:linePitch="312"/>
        </w:sectPr>
      </w:pPr>
    </w:p>
    <w:p w:rsidR="00696409" w:rsidRPr="00F7313F" w:rsidRDefault="00696409">
      <w:pPr>
        <w:rPr>
          <w:rFonts w:hint="eastAsia"/>
        </w:rPr>
      </w:pPr>
    </w:p>
    <w:sectPr w:rsidR="00696409" w:rsidRPr="00F7313F" w:rsidSect="00F731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CD" w:rsidRDefault="00A91FCD" w:rsidP="00F7313F">
      <w:r>
        <w:separator/>
      </w:r>
    </w:p>
  </w:endnote>
  <w:endnote w:type="continuationSeparator" w:id="0">
    <w:p w:rsidR="00A91FCD" w:rsidRDefault="00A91FCD" w:rsidP="00F7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CD" w:rsidRDefault="00A91FCD" w:rsidP="00F7313F">
      <w:r>
        <w:separator/>
      </w:r>
    </w:p>
  </w:footnote>
  <w:footnote w:type="continuationSeparator" w:id="0">
    <w:p w:rsidR="00A91FCD" w:rsidRDefault="00A91FCD" w:rsidP="00F73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7A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10B4E"/>
    <w:rsid w:val="0013111A"/>
    <w:rsid w:val="00137752"/>
    <w:rsid w:val="001444C4"/>
    <w:rsid w:val="00153E45"/>
    <w:rsid w:val="0016472E"/>
    <w:rsid w:val="001B7B7E"/>
    <w:rsid w:val="001C740F"/>
    <w:rsid w:val="001D045D"/>
    <w:rsid w:val="001E542A"/>
    <w:rsid w:val="00215695"/>
    <w:rsid w:val="002204BA"/>
    <w:rsid w:val="00221AC5"/>
    <w:rsid w:val="0023379A"/>
    <w:rsid w:val="00236A12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A29A4"/>
    <w:rsid w:val="002A414D"/>
    <w:rsid w:val="002A4595"/>
    <w:rsid w:val="002B0F23"/>
    <w:rsid w:val="002C0893"/>
    <w:rsid w:val="002D0987"/>
    <w:rsid w:val="002E3A4A"/>
    <w:rsid w:val="002E3A68"/>
    <w:rsid w:val="002F1487"/>
    <w:rsid w:val="002F30ED"/>
    <w:rsid w:val="002F4A35"/>
    <w:rsid w:val="00320485"/>
    <w:rsid w:val="003275AA"/>
    <w:rsid w:val="00332A5C"/>
    <w:rsid w:val="00333440"/>
    <w:rsid w:val="00335E5A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2DAA"/>
    <w:rsid w:val="00624B7D"/>
    <w:rsid w:val="00637B05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83F79"/>
    <w:rsid w:val="007855FA"/>
    <w:rsid w:val="00791635"/>
    <w:rsid w:val="007A1233"/>
    <w:rsid w:val="007B134F"/>
    <w:rsid w:val="007B7FC9"/>
    <w:rsid w:val="007C1755"/>
    <w:rsid w:val="007C1F8D"/>
    <w:rsid w:val="007C665D"/>
    <w:rsid w:val="007D64CD"/>
    <w:rsid w:val="007D6646"/>
    <w:rsid w:val="007F63FB"/>
    <w:rsid w:val="00815C2F"/>
    <w:rsid w:val="00820989"/>
    <w:rsid w:val="008220D8"/>
    <w:rsid w:val="008258E0"/>
    <w:rsid w:val="00827ABF"/>
    <w:rsid w:val="0083001A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C00AC"/>
    <w:rsid w:val="009D1B32"/>
    <w:rsid w:val="009D4126"/>
    <w:rsid w:val="009D6575"/>
    <w:rsid w:val="009E2640"/>
    <w:rsid w:val="009E33F7"/>
    <w:rsid w:val="009E4EDB"/>
    <w:rsid w:val="009E7184"/>
    <w:rsid w:val="009F2B23"/>
    <w:rsid w:val="00A05C14"/>
    <w:rsid w:val="00A1001B"/>
    <w:rsid w:val="00A10DEC"/>
    <w:rsid w:val="00A17617"/>
    <w:rsid w:val="00A21F3F"/>
    <w:rsid w:val="00A33B7D"/>
    <w:rsid w:val="00A3417A"/>
    <w:rsid w:val="00A34415"/>
    <w:rsid w:val="00A36901"/>
    <w:rsid w:val="00A42CA0"/>
    <w:rsid w:val="00A43399"/>
    <w:rsid w:val="00A571ED"/>
    <w:rsid w:val="00A810BB"/>
    <w:rsid w:val="00A91FCD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1F15"/>
    <w:rsid w:val="00B2225F"/>
    <w:rsid w:val="00B251F5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61EC7"/>
    <w:rsid w:val="00C82FB5"/>
    <w:rsid w:val="00C842CA"/>
    <w:rsid w:val="00C85AE1"/>
    <w:rsid w:val="00CA1020"/>
    <w:rsid w:val="00CA25D0"/>
    <w:rsid w:val="00CA48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17E7"/>
    <w:rsid w:val="00D42D7E"/>
    <w:rsid w:val="00D435B3"/>
    <w:rsid w:val="00D5692E"/>
    <w:rsid w:val="00D64D61"/>
    <w:rsid w:val="00D7533E"/>
    <w:rsid w:val="00D806B7"/>
    <w:rsid w:val="00D97B93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7313F"/>
    <w:rsid w:val="00F8093A"/>
    <w:rsid w:val="00F85DAC"/>
    <w:rsid w:val="00F92B71"/>
    <w:rsid w:val="00F96A4A"/>
    <w:rsid w:val="00FA3F01"/>
    <w:rsid w:val="00FB5E7C"/>
    <w:rsid w:val="00FB69D4"/>
    <w:rsid w:val="00FB7794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F3AECE-1A02-41E2-AA30-3A0A566A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7313F"/>
    <w:pPr>
      <w:widowControl w:val="0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73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731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313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7313F"/>
    <w:rPr>
      <w:sz w:val="18"/>
      <w:szCs w:val="18"/>
    </w:rPr>
  </w:style>
  <w:style w:type="table" w:styleId="a6">
    <w:name w:val="Table Grid"/>
    <w:basedOn w:val="a2"/>
    <w:uiPriority w:val="59"/>
    <w:rsid w:val="00F7313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1"/>
    <w:qFormat/>
    <w:rsid w:val="00F7313F"/>
    <w:pPr>
      <w:ind w:firstLineChars="200" w:firstLine="420"/>
    </w:pPr>
  </w:style>
  <w:style w:type="paragraph" w:styleId="a0">
    <w:name w:val="Body Text"/>
    <w:basedOn w:val="a"/>
    <w:link w:val="Char1"/>
    <w:uiPriority w:val="99"/>
    <w:semiHidden/>
    <w:unhideWhenUsed/>
    <w:rsid w:val="00F7313F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F7313F"/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Company>MS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2021-10-28T06:44:00Z</dcterms:created>
  <dcterms:modified xsi:type="dcterms:W3CDTF">2021-10-28T06:45:00Z</dcterms:modified>
</cp:coreProperties>
</file>