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D1" w:rsidRDefault="008E4AD1" w:rsidP="008E4AD1">
      <w:pPr>
        <w:spacing w:line="600" w:lineRule="exact"/>
        <w:ind w:leftChars="-133" w:left="-426" w:firstLineChars="153" w:firstLine="490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8E4AD1" w:rsidRDefault="008E4AD1" w:rsidP="008E4AD1">
      <w:pPr>
        <w:spacing w:line="460" w:lineRule="exact"/>
        <w:ind w:leftChars="-133" w:left="-426" w:firstLineChars="153" w:firstLine="490"/>
        <w:rPr>
          <w:rFonts w:ascii="黑体" w:eastAsia="黑体" w:hAnsi="黑体" w:hint="eastAsia"/>
        </w:rPr>
      </w:pPr>
    </w:p>
    <w:p w:rsidR="008E4AD1" w:rsidRDefault="008E4AD1" w:rsidP="008E4AD1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8E4AD1" w:rsidRDefault="008E4AD1" w:rsidP="008E4AD1">
      <w:pPr>
        <w:spacing w:line="440" w:lineRule="exact"/>
        <w:ind w:firstLineChars="54" w:firstLine="173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808"/>
        <w:gridCol w:w="3607"/>
        <w:gridCol w:w="1469"/>
        <w:gridCol w:w="1176"/>
        <w:gridCol w:w="1814"/>
        <w:gridCol w:w="1611"/>
        <w:gridCol w:w="1145"/>
      </w:tblGrid>
      <w:tr w:rsidR="008E4AD1" w:rsidTr="00DA6BD4">
        <w:trPr>
          <w:trHeight w:val="817"/>
          <w:jc w:val="center"/>
        </w:trPr>
        <w:tc>
          <w:tcPr>
            <w:tcW w:w="1926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808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</w:t>
            </w:r>
          </w:p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3607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469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</w:t>
            </w:r>
          </w:p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76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814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1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5" w:type="dxa"/>
            <w:vAlign w:val="center"/>
          </w:tcPr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</w:t>
            </w:r>
          </w:p>
          <w:p w:rsidR="008E4AD1" w:rsidRDefault="008E4AD1" w:rsidP="00DA6BD4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</w:tr>
      <w:tr w:rsidR="008E4AD1" w:rsidTr="00DA6BD4">
        <w:trPr>
          <w:trHeight w:val="1094"/>
          <w:jc w:val="center"/>
        </w:trPr>
        <w:tc>
          <w:tcPr>
            <w:tcW w:w="1926" w:type="dxa"/>
            <w:vAlign w:val="center"/>
          </w:tcPr>
          <w:p w:rsidR="008E4AD1" w:rsidRDefault="008E4AD1" w:rsidP="00DA6BD4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西安伊利泰普克饮品有限公司安全隐患</w:t>
            </w:r>
          </w:p>
        </w:tc>
        <w:tc>
          <w:tcPr>
            <w:tcW w:w="808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工贸</w:t>
            </w:r>
          </w:p>
        </w:tc>
        <w:tc>
          <w:tcPr>
            <w:tcW w:w="3607" w:type="dxa"/>
            <w:vAlign w:val="center"/>
          </w:tcPr>
          <w:p w:rsidR="008E4AD1" w:rsidRDefault="008E4AD1" w:rsidP="00DA6BD4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1.隐患排查治理制度内容不全、压力容器专项预案中未核实液氨储罐相关内容；2.柴油储罐与锅炉房安全间距不符合防火间距要求；柴油卸油口静电</w:t>
            </w:r>
            <w:r w:rsidRPr="002F2577">
              <w:rPr>
                <w:rFonts w:ascii="仿宋" w:hAnsi="仿宋" w:cs="仿宋" w:hint="eastAsia"/>
                <w:color w:val="FF00FF"/>
                <w:sz w:val="24"/>
                <w:szCs w:val="24"/>
              </w:rPr>
              <w:t>夹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失灵；3.水塔处缺少有限空间安全警示标识。</w:t>
            </w:r>
          </w:p>
        </w:tc>
        <w:tc>
          <w:tcPr>
            <w:tcW w:w="1469" w:type="dxa"/>
            <w:vAlign w:val="center"/>
          </w:tcPr>
          <w:p w:rsidR="008E4AD1" w:rsidRDefault="008E4AD1" w:rsidP="00DA6BD4">
            <w:pPr>
              <w:spacing w:line="0" w:lineRule="atLeas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西安伊利泰普克饮品有限公司</w:t>
            </w:r>
          </w:p>
        </w:tc>
        <w:tc>
          <w:tcPr>
            <w:tcW w:w="1176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</w:t>
            </w:r>
          </w:p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14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11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6月30日</w:t>
            </w:r>
          </w:p>
        </w:tc>
        <w:tc>
          <w:tcPr>
            <w:tcW w:w="1145" w:type="dxa"/>
            <w:vAlign w:val="center"/>
          </w:tcPr>
          <w:p w:rsidR="008E4AD1" w:rsidRDefault="008E4AD1" w:rsidP="00DA6BD4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8E4AD1" w:rsidTr="00DA6BD4">
        <w:trPr>
          <w:trHeight w:val="1426"/>
          <w:jc w:val="center"/>
        </w:trPr>
        <w:tc>
          <w:tcPr>
            <w:tcW w:w="1926" w:type="dxa"/>
            <w:vAlign w:val="center"/>
          </w:tcPr>
          <w:p w:rsidR="008E4AD1" w:rsidRDefault="008E4AD1" w:rsidP="00DA6BD4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陕西粮农富平西</w:t>
            </w:r>
            <w:r w:rsidRPr="002F2577">
              <w:rPr>
                <w:rFonts w:ascii="仿宋" w:hAnsi="仿宋" w:cs="仿宋" w:hint="eastAsia"/>
                <w:color w:val="FF00FF"/>
                <w:sz w:val="24"/>
                <w:szCs w:val="24"/>
              </w:rPr>
              <w:t>瑞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面粉有限公司安全隐患</w:t>
            </w:r>
          </w:p>
        </w:tc>
        <w:tc>
          <w:tcPr>
            <w:tcW w:w="808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工贸</w:t>
            </w:r>
          </w:p>
        </w:tc>
        <w:tc>
          <w:tcPr>
            <w:tcW w:w="3607" w:type="dxa"/>
            <w:vAlign w:val="center"/>
          </w:tcPr>
          <w:p w:rsidR="008E4AD1" w:rsidRDefault="008E4AD1" w:rsidP="00DA6BD4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1.电工、焊工特种作业操作证未定期复审；2.制粉车间二层中控室大门为非防爆门。</w:t>
            </w:r>
          </w:p>
        </w:tc>
        <w:tc>
          <w:tcPr>
            <w:tcW w:w="1469" w:type="dxa"/>
            <w:vAlign w:val="center"/>
          </w:tcPr>
          <w:p w:rsidR="008E4AD1" w:rsidRDefault="008E4AD1" w:rsidP="00DA6BD4">
            <w:pPr>
              <w:spacing w:line="0" w:lineRule="atLeas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陕西粮农富平西</w:t>
            </w:r>
            <w:r w:rsidRPr="002F2577">
              <w:rPr>
                <w:rFonts w:ascii="仿宋" w:hAnsi="仿宋" w:cs="仿宋" w:hint="eastAsia"/>
                <w:color w:val="FF00FF"/>
                <w:sz w:val="24"/>
                <w:szCs w:val="24"/>
              </w:rPr>
              <w:t>瑞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面粉有限公司</w:t>
            </w:r>
          </w:p>
        </w:tc>
        <w:tc>
          <w:tcPr>
            <w:tcW w:w="1176" w:type="dxa"/>
            <w:vAlign w:val="center"/>
          </w:tcPr>
          <w:p w:rsidR="008E4AD1" w:rsidRDefault="008E4AD1" w:rsidP="00DA6BD4">
            <w:pPr>
              <w:pStyle w:val="a0"/>
              <w:spacing w:after="0"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渭南市</w:t>
            </w:r>
          </w:p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14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11" w:type="dxa"/>
            <w:vAlign w:val="center"/>
          </w:tcPr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8E4AD1" w:rsidRDefault="008E4AD1" w:rsidP="00DA6BD4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6月30日</w:t>
            </w:r>
          </w:p>
        </w:tc>
        <w:tc>
          <w:tcPr>
            <w:tcW w:w="1145" w:type="dxa"/>
            <w:vAlign w:val="center"/>
          </w:tcPr>
          <w:p w:rsidR="008E4AD1" w:rsidRDefault="008E4AD1" w:rsidP="00DA6BD4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8E4AD1" w:rsidTr="00DA6BD4">
        <w:trPr>
          <w:trHeight w:val="1285"/>
          <w:jc w:val="center"/>
        </w:trPr>
        <w:tc>
          <w:tcPr>
            <w:tcW w:w="1926" w:type="dxa"/>
            <w:vAlign w:val="center"/>
          </w:tcPr>
          <w:p w:rsidR="008E4AD1" w:rsidRDefault="008E4AD1" w:rsidP="00DA6BD4">
            <w:pPr>
              <w:spacing w:line="300" w:lineRule="exac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潼关县桃园</w:t>
            </w:r>
            <w:r w:rsidRPr="002F2577">
              <w:rPr>
                <w:rFonts w:ascii="仿宋" w:hAnsi="仿宋" w:hint="eastAsia"/>
                <w:color w:val="FF00FF"/>
                <w:sz w:val="24"/>
                <w:szCs w:val="24"/>
              </w:rPr>
              <w:t>沟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-</w:t>
            </w:r>
            <w:r w:rsidRPr="002F2577">
              <w:rPr>
                <w:rFonts w:ascii="仿宋" w:hAnsi="仿宋" w:hint="eastAsia"/>
                <w:color w:val="FF00FF"/>
                <w:sz w:val="24"/>
                <w:szCs w:val="24"/>
              </w:rPr>
              <w:t>麻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沟尾矿库调洪安全隐患</w:t>
            </w:r>
          </w:p>
        </w:tc>
        <w:tc>
          <w:tcPr>
            <w:tcW w:w="808" w:type="dxa"/>
            <w:vAlign w:val="center"/>
          </w:tcPr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非</w:t>
            </w:r>
            <w:r w:rsidRPr="002F2577">
              <w:rPr>
                <w:rFonts w:ascii="仿宋" w:hAnsi="仿宋" w:hint="eastAsia"/>
                <w:color w:val="FF00FF"/>
                <w:sz w:val="24"/>
                <w:szCs w:val="24"/>
              </w:rPr>
              <w:t>煤</w:t>
            </w:r>
          </w:p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矿山</w:t>
            </w:r>
          </w:p>
        </w:tc>
        <w:tc>
          <w:tcPr>
            <w:tcW w:w="3607" w:type="dxa"/>
            <w:vAlign w:val="center"/>
          </w:tcPr>
          <w:p w:rsidR="008E4AD1" w:rsidRDefault="008E4AD1" w:rsidP="00DA6BD4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泄洪能力满足不了现实需要，需建设分洪隧洞。</w:t>
            </w:r>
          </w:p>
        </w:tc>
        <w:tc>
          <w:tcPr>
            <w:tcW w:w="1469" w:type="dxa"/>
            <w:vAlign w:val="center"/>
          </w:tcPr>
          <w:p w:rsidR="008E4AD1" w:rsidRDefault="008E4AD1" w:rsidP="00DA6BD4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潼关中金黄金矿业有限责任公司</w:t>
            </w:r>
          </w:p>
        </w:tc>
        <w:tc>
          <w:tcPr>
            <w:tcW w:w="1176" w:type="dxa"/>
            <w:vAlign w:val="center"/>
          </w:tcPr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渭南市</w:t>
            </w:r>
          </w:p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14" w:type="dxa"/>
            <w:vAlign w:val="center"/>
          </w:tcPr>
          <w:p w:rsidR="008E4AD1" w:rsidRDefault="008E4AD1" w:rsidP="00DA6BD4">
            <w:pPr>
              <w:tabs>
                <w:tab w:val="left" w:pos="3962"/>
              </w:tabs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11" w:type="dxa"/>
            <w:vAlign w:val="center"/>
          </w:tcPr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2021年</w:t>
            </w:r>
          </w:p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5月31日前</w:t>
            </w:r>
          </w:p>
        </w:tc>
        <w:tc>
          <w:tcPr>
            <w:tcW w:w="1145" w:type="dxa"/>
            <w:vAlign w:val="center"/>
          </w:tcPr>
          <w:p w:rsidR="008E4AD1" w:rsidRDefault="008E4AD1" w:rsidP="00DA6BD4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8E4A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F0" w:rsidRDefault="00306FF0" w:rsidP="008E4AD1">
      <w:r>
        <w:separator/>
      </w:r>
    </w:p>
  </w:endnote>
  <w:endnote w:type="continuationSeparator" w:id="0">
    <w:p w:rsidR="00306FF0" w:rsidRDefault="00306FF0" w:rsidP="008E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F0" w:rsidRDefault="00306FF0" w:rsidP="008E4AD1">
      <w:r>
        <w:separator/>
      </w:r>
    </w:p>
  </w:footnote>
  <w:footnote w:type="continuationSeparator" w:id="0">
    <w:p w:rsidR="00306FF0" w:rsidRDefault="00306FF0" w:rsidP="008E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E"/>
    <w:rsid w:val="00000D8C"/>
    <w:rsid w:val="00007C54"/>
    <w:rsid w:val="0001704E"/>
    <w:rsid w:val="000229BD"/>
    <w:rsid w:val="00035244"/>
    <w:rsid w:val="00035CE3"/>
    <w:rsid w:val="00044E3F"/>
    <w:rsid w:val="000555D9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06FF0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C7AAA"/>
    <w:rsid w:val="003D064B"/>
    <w:rsid w:val="003E722E"/>
    <w:rsid w:val="003F6D5E"/>
    <w:rsid w:val="004638AE"/>
    <w:rsid w:val="00472B63"/>
    <w:rsid w:val="004A30AB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3F5"/>
    <w:rsid w:val="0057459C"/>
    <w:rsid w:val="00574CDE"/>
    <w:rsid w:val="0059171E"/>
    <w:rsid w:val="005A3F59"/>
    <w:rsid w:val="005C04BB"/>
    <w:rsid w:val="005D1D47"/>
    <w:rsid w:val="005D473A"/>
    <w:rsid w:val="005E16BF"/>
    <w:rsid w:val="005E586E"/>
    <w:rsid w:val="005F7292"/>
    <w:rsid w:val="00605050"/>
    <w:rsid w:val="00611182"/>
    <w:rsid w:val="006122B1"/>
    <w:rsid w:val="00637B05"/>
    <w:rsid w:val="006462A4"/>
    <w:rsid w:val="00661E52"/>
    <w:rsid w:val="00673586"/>
    <w:rsid w:val="00696409"/>
    <w:rsid w:val="006A455A"/>
    <w:rsid w:val="006B4598"/>
    <w:rsid w:val="006E5A51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220D8"/>
    <w:rsid w:val="00830463"/>
    <w:rsid w:val="0083193C"/>
    <w:rsid w:val="00836466"/>
    <w:rsid w:val="00841C2E"/>
    <w:rsid w:val="0085534B"/>
    <w:rsid w:val="008849D6"/>
    <w:rsid w:val="00896741"/>
    <w:rsid w:val="008C67AB"/>
    <w:rsid w:val="008E4AD1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42D56"/>
    <w:rsid w:val="00946992"/>
    <w:rsid w:val="00956AD9"/>
    <w:rsid w:val="0098077C"/>
    <w:rsid w:val="009878AE"/>
    <w:rsid w:val="00990DCA"/>
    <w:rsid w:val="00994CAB"/>
    <w:rsid w:val="009D1B32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42CA0"/>
    <w:rsid w:val="00AB032B"/>
    <w:rsid w:val="00AC172F"/>
    <w:rsid w:val="00AC1932"/>
    <w:rsid w:val="00AD04E2"/>
    <w:rsid w:val="00AD3307"/>
    <w:rsid w:val="00AD790E"/>
    <w:rsid w:val="00AE0381"/>
    <w:rsid w:val="00AE7B7A"/>
    <w:rsid w:val="00AF627B"/>
    <w:rsid w:val="00AF78D1"/>
    <w:rsid w:val="00B07C82"/>
    <w:rsid w:val="00B2225F"/>
    <w:rsid w:val="00B251F5"/>
    <w:rsid w:val="00B46D4F"/>
    <w:rsid w:val="00B61D33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C1D23"/>
    <w:rsid w:val="00CD3AD9"/>
    <w:rsid w:val="00CD67DC"/>
    <w:rsid w:val="00CF716D"/>
    <w:rsid w:val="00D27D25"/>
    <w:rsid w:val="00D349CA"/>
    <w:rsid w:val="00D42D7E"/>
    <w:rsid w:val="00D5692E"/>
    <w:rsid w:val="00D806B7"/>
    <w:rsid w:val="00DC2697"/>
    <w:rsid w:val="00DE3E6F"/>
    <w:rsid w:val="00DF6098"/>
    <w:rsid w:val="00DF7F53"/>
    <w:rsid w:val="00E14BF4"/>
    <w:rsid w:val="00E265F2"/>
    <w:rsid w:val="00E35238"/>
    <w:rsid w:val="00E47911"/>
    <w:rsid w:val="00E508BE"/>
    <w:rsid w:val="00E5616F"/>
    <w:rsid w:val="00E6101D"/>
    <w:rsid w:val="00E858D6"/>
    <w:rsid w:val="00E8770C"/>
    <w:rsid w:val="00E97EFA"/>
    <w:rsid w:val="00ED2F78"/>
    <w:rsid w:val="00F03429"/>
    <w:rsid w:val="00F207A4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9F07D-7DDD-4CA4-8C2B-31F34BF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E4AD1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E4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E4A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4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E4AD1"/>
    <w:rPr>
      <w:sz w:val="18"/>
      <w:szCs w:val="18"/>
    </w:rPr>
  </w:style>
  <w:style w:type="character" w:customStyle="1" w:styleId="Char1">
    <w:name w:val="正文文本 Char"/>
    <w:link w:val="a0"/>
    <w:uiPriority w:val="99"/>
    <w:qFormat/>
    <w:rsid w:val="008E4AD1"/>
    <w:rPr>
      <w:rFonts w:eastAsia="方正仿宋简体"/>
      <w:sz w:val="32"/>
    </w:rPr>
  </w:style>
  <w:style w:type="paragraph" w:styleId="a0">
    <w:name w:val="Body Text"/>
    <w:basedOn w:val="a"/>
    <w:link w:val="Char1"/>
    <w:uiPriority w:val="99"/>
    <w:qFormat/>
    <w:rsid w:val="008E4AD1"/>
    <w:pPr>
      <w:spacing w:after="120"/>
    </w:pPr>
    <w:rPr>
      <w:rFonts w:asciiTheme="minorHAnsi" w:eastAsia="方正仿宋简体" w:hAnsiTheme="minorHAnsi" w:cstheme="minorBidi"/>
      <w:szCs w:val="22"/>
    </w:rPr>
  </w:style>
  <w:style w:type="character" w:customStyle="1" w:styleId="Char10">
    <w:name w:val="正文文本 Char1"/>
    <w:basedOn w:val="a1"/>
    <w:uiPriority w:val="99"/>
    <w:semiHidden/>
    <w:rsid w:val="008E4AD1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2021-07-09T08:01:00Z</dcterms:created>
  <dcterms:modified xsi:type="dcterms:W3CDTF">2021-07-09T08:02:00Z</dcterms:modified>
</cp:coreProperties>
</file>