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黑体" w:hAnsi="黑体" w:eastAsia="黑体" w:cs="Arial"/>
          <w:shd w:val="clear" w:color="auto" w:fill="FFFFFF"/>
        </w:rPr>
      </w:pPr>
      <w:r>
        <w:rPr>
          <w:rFonts w:hint="eastAsia" w:ascii="黑体" w:hAnsi="黑体" w:eastAsia="黑体" w:cs="Arial"/>
          <w:shd w:val="clear" w:color="auto" w:fill="FFFFFF"/>
        </w:rPr>
        <w:t>附件1</w:t>
      </w:r>
    </w:p>
    <w:p>
      <w:pPr>
        <w:wordWrap w:val="0"/>
        <w:spacing w:line="600" w:lineRule="exact"/>
        <w:rPr>
          <w:rFonts w:ascii="仿宋" w:hAnsi="仿宋" w:cs="Arial"/>
          <w:shd w:val="clear" w:color="auto" w:fill="FFFFFF"/>
        </w:rPr>
      </w:pPr>
    </w:p>
    <w:p>
      <w:pPr>
        <w:wordWrap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陕西省石油天然气开采业重大生产安全</w:t>
      </w:r>
    </w:p>
    <w:p>
      <w:pPr>
        <w:wordWrap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事故隐患判定标准（试行）</w:t>
      </w:r>
    </w:p>
    <w:p>
      <w:pPr>
        <w:wordWrap w:val="0"/>
        <w:spacing w:line="600" w:lineRule="exact"/>
        <w:ind w:firstLine="624" w:firstLineChars="200"/>
        <w:rPr>
          <w:rFonts w:ascii="仿宋" w:hAnsi="仿宋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bookmarkStart w:id="0" w:name="_Hlk5910803"/>
      <w:r>
        <w:rPr>
          <w:rFonts w:hint="eastAsia" w:ascii="仿宋" w:hAnsi="仿宋" w:cs="Arial"/>
          <w:shd w:val="clear" w:color="auto" w:fill="FFFFFF"/>
        </w:rPr>
        <w:t>一、未按规定取得安全生产行政许可，进行生产经营活动。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二、石油天然气开采企业作为发包单位，使用无资质、超资质等级或者范围、借（盗）用资质的承包单位，或者未开展承包单位作业安全准入评估、考核。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三、特种作业人员未持证上岗；在含硫化氢环境中作业的人员未取得硫化氢防护培训合格证；钻井及井下作业人员未取得井控培训合格证。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四、未按规定落实作业审批制度，擅自进行动火、进入受限空间等特殊作业。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五、特种设备未按规定办理使用登记和定期检验合格；安全附件未按规定校验合格。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六、新建、改建、扩建工程安全设施未与主体工程同时设计、同时施工、同时投入生产和使用。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七、井场、站场、管道等位于湿陷性黄土易塌陷、滑坡等地段，未采取有效防护措施。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八、站场、钻井井场与周边设施之间间距不符合国家标准要求。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九、钻井、井下作业工程未按照设计要求正确配备、安装井控设施、设备，储备加重材料；使用的井架、防喷器等未经检测、检验合格。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十、放射源、火工品未按照相关标准要求落实管控措施。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十一、抽油机外露的旋转部位距离地面低于2米未安装防护装置，或抽油机刹车装置不可靠。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十二、涉及可燃和有毒有害气体泄漏的场所未按国家标准、行业标准设置检测报警装置，爆炸危险场所未按国家标准安装使用防爆电气设备。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十三、油气站场设施、设备的防雷、防静电接地装置安装不符合相关标准规定，或未经定期检测合格。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十四、进出天然气站场的天然气管道未设置截断阀，或截断阀设置不符合国家标准要求。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五、危险化学品重大危险源未设置压力、液位、温度远传监控和超限位报警装置；构成一级、二级重大危险源的危险化学品罐区未实现紧急切断功能；涉及毒性气体、液化气体、剧毒液体的一级、二级重大危险源的危险化学品罐区未配备独立的安全仪表系统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十六、控制室、机柜间、值班室等人员值守的场所设在输油泵房、计量间、压缩机房等火灾危险性为甲、乙类的厂房内。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十七、站场集中（中央）控制室等面向具有火灾、爆炸危险性装置一侧设置门窗与洞口。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十八、井场采取明火直接加热原油罐，或加热锅炉距离储罐防火间距不符合国家标准要求。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十九、油气集输管道被占压或距离敏感目标安全距离不符合标准要求。</w:t>
      </w:r>
      <w:bookmarkEnd w:id="0"/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  <w:r>
        <w:rPr>
          <w:rFonts w:hint="eastAsia" w:ascii="仿宋" w:hAnsi="仿宋" w:cs="Arial"/>
          <w:shd w:val="clear" w:color="auto" w:fill="FFFFFF"/>
        </w:rPr>
        <w:t>二十、石油天然气开采企业之间、石油天然气开采企业与煤矿等地下矿山企业之间，作业区域交叉、重叠时，未签订安全生产管理协议，或未采取相应安全技术措施。</w:t>
      </w: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wordWrap w:val="0"/>
        <w:ind w:firstLine="624" w:firstLineChars="200"/>
        <w:rPr>
          <w:rFonts w:ascii="仿宋" w:hAnsi="仿宋" w:cs="Arial"/>
          <w:shd w:val="clear" w:color="auto" w:fill="FFFFFF"/>
        </w:rPr>
      </w:pPr>
    </w:p>
    <w:p>
      <w:pPr>
        <w:ind w:firstLine="125" w:firstLineChars="54"/>
        <w:jc w:val="right"/>
        <w:rPr>
          <w:rFonts w:eastAsia="宋体"/>
          <w:color w:val="000000"/>
          <w:kern w:val="0"/>
          <w:sz w:val="24"/>
          <w:szCs w:val="24"/>
        </w:rPr>
      </w:pPr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588" w:left="1588" w:header="851" w:footer="964" w:gutter="0"/>
      <w:pgNumType w:fmt="numberInDash" w:start="1"/>
      <w:cols w:space="425" w:num="1"/>
      <w:docGrid w:type="linesAndChars" w:linePitch="615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513623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036413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6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939"/>
    <w:rsid w:val="00000E1A"/>
    <w:rsid w:val="00001414"/>
    <w:rsid w:val="00004D16"/>
    <w:rsid w:val="00005AF4"/>
    <w:rsid w:val="00012E48"/>
    <w:rsid w:val="000146CF"/>
    <w:rsid w:val="00017FD7"/>
    <w:rsid w:val="00020D30"/>
    <w:rsid w:val="0002453D"/>
    <w:rsid w:val="00024542"/>
    <w:rsid w:val="000253D2"/>
    <w:rsid w:val="00032733"/>
    <w:rsid w:val="00032B8C"/>
    <w:rsid w:val="00033FE2"/>
    <w:rsid w:val="0003453F"/>
    <w:rsid w:val="00037807"/>
    <w:rsid w:val="00037AAF"/>
    <w:rsid w:val="00044BB6"/>
    <w:rsid w:val="000472F0"/>
    <w:rsid w:val="0004744E"/>
    <w:rsid w:val="00052081"/>
    <w:rsid w:val="00054958"/>
    <w:rsid w:val="00057FE5"/>
    <w:rsid w:val="0006034D"/>
    <w:rsid w:val="00064D42"/>
    <w:rsid w:val="00077723"/>
    <w:rsid w:val="00081217"/>
    <w:rsid w:val="000863E1"/>
    <w:rsid w:val="0009213F"/>
    <w:rsid w:val="00093876"/>
    <w:rsid w:val="000971F5"/>
    <w:rsid w:val="00097D5C"/>
    <w:rsid w:val="000A358E"/>
    <w:rsid w:val="000A7AC0"/>
    <w:rsid w:val="000B02B8"/>
    <w:rsid w:val="000B06F4"/>
    <w:rsid w:val="000B163C"/>
    <w:rsid w:val="000C1213"/>
    <w:rsid w:val="000C2FEC"/>
    <w:rsid w:val="000D1E45"/>
    <w:rsid w:val="000D32E6"/>
    <w:rsid w:val="000D48F4"/>
    <w:rsid w:val="000E6321"/>
    <w:rsid w:val="000F0924"/>
    <w:rsid w:val="000F1F15"/>
    <w:rsid w:val="000F7FBE"/>
    <w:rsid w:val="00100D13"/>
    <w:rsid w:val="00102CCB"/>
    <w:rsid w:val="001032E0"/>
    <w:rsid w:val="00105B5E"/>
    <w:rsid w:val="001147AE"/>
    <w:rsid w:val="0011535F"/>
    <w:rsid w:val="00117DD9"/>
    <w:rsid w:val="00120C4D"/>
    <w:rsid w:val="0012575D"/>
    <w:rsid w:val="00135D2A"/>
    <w:rsid w:val="001365F3"/>
    <w:rsid w:val="0014025A"/>
    <w:rsid w:val="00140C86"/>
    <w:rsid w:val="0014493D"/>
    <w:rsid w:val="00145024"/>
    <w:rsid w:val="00147A3C"/>
    <w:rsid w:val="00153A08"/>
    <w:rsid w:val="00155EB1"/>
    <w:rsid w:val="00157948"/>
    <w:rsid w:val="00157DEC"/>
    <w:rsid w:val="001613EE"/>
    <w:rsid w:val="001642DD"/>
    <w:rsid w:val="001650A2"/>
    <w:rsid w:val="00173221"/>
    <w:rsid w:val="00177046"/>
    <w:rsid w:val="0018077E"/>
    <w:rsid w:val="001876D5"/>
    <w:rsid w:val="001A14FF"/>
    <w:rsid w:val="001A1E1A"/>
    <w:rsid w:val="001A1FA7"/>
    <w:rsid w:val="001A2245"/>
    <w:rsid w:val="001A4E40"/>
    <w:rsid w:val="001A54C9"/>
    <w:rsid w:val="001B2DB4"/>
    <w:rsid w:val="001B3CC5"/>
    <w:rsid w:val="001B44D1"/>
    <w:rsid w:val="001C1838"/>
    <w:rsid w:val="001C1EB7"/>
    <w:rsid w:val="001C7CE8"/>
    <w:rsid w:val="001D0BEF"/>
    <w:rsid w:val="001D429A"/>
    <w:rsid w:val="001D4759"/>
    <w:rsid w:val="001E051C"/>
    <w:rsid w:val="001E29D2"/>
    <w:rsid w:val="001E351A"/>
    <w:rsid w:val="001E3F10"/>
    <w:rsid w:val="001F2C10"/>
    <w:rsid w:val="001F424F"/>
    <w:rsid w:val="001F6856"/>
    <w:rsid w:val="002008C9"/>
    <w:rsid w:val="00205BE5"/>
    <w:rsid w:val="00220316"/>
    <w:rsid w:val="002218BA"/>
    <w:rsid w:val="00223E01"/>
    <w:rsid w:val="002250B9"/>
    <w:rsid w:val="002271E5"/>
    <w:rsid w:val="00230BFD"/>
    <w:rsid w:val="00235932"/>
    <w:rsid w:val="00236769"/>
    <w:rsid w:val="00246A8F"/>
    <w:rsid w:val="00250246"/>
    <w:rsid w:val="00262B73"/>
    <w:rsid w:val="00267D74"/>
    <w:rsid w:val="00273C06"/>
    <w:rsid w:val="00275EB7"/>
    <w:rsid w:val="00276D48"/>
    <w:rsid w:val="00281351"/>
    <w:rsid w:val="00284082"/>
    <w:rsid w:val="00286432"/>
    <w:rsid w:val="00286658"/>
    <w:rsid w:val="00286861"/>
    <w:rsid w:val="00296430"/>
    <w:rsid w:val="0029709D"/>
    <w:rsid w:val="002A0792"/>
    <w:rsid w:val="002A4972"/>
    <w:rsid w:val="002A6958"/>
    <w:rsid w:val="002B2B6B"/>
    <w:rsid w:val="002B2DCA"/>
    <w:rsid w:val="002B2EA6"/>
    <w:rsid w:val="002B3928"/>
    <w:rsid w:val="002B39C5"/>
    <w:rsid w:val="002B6C87"/>
    <w:rsid w:val="002B7613"/>
    <w:rsid w:val="002C174C"/>
    <w:rsid w:val="002C197B"/>
    <w:rsid w:val="002D085A"/>
    <w:rsid w:val="002D4755"/>
    <w:rsid w:val="002D6D08"/>
    <w:rsid w:val="002E1CE3"/>
    <w:rsid w:val="002E3051"/>
    <w:rsid w:val="002E6209"/>
    <w:rsid w:val="002E7CD7"/>
    <w:rsid w:val="00300226"/>
    <w:rsid w:val="00300C7A"/>
    <w:rsid w:val="00314E7B"/>
    <w:rsid w:val="0031520D"/>
    <w:rsid w:val="0032428F"/>
    <w:rsid w:val="00325663"/>
    <w:rsid w:val="003264CC"/>
    <w:rsid w:val="00333B9B"/>
    <w:rsid w:val="00335AF4"/>
    <w:rsid w:val="0033626F"/>
    <w:rsid w:val="003365E7"/>
    <w:rsid w:val="003438CC"/>
    <w:rsid w:val="00346D80"/>
    <w:rsid w:val="00347294"/>
    <w:rsid w:val="00351211"/>
    <w:rsid w:val="003515B2"/>
    <w:rsid w:val="003521AF"/>
    <w:rsid w:val="003549FA"/>
    <w:rsid w:val="00362127"/>
    <w:rsid w:val="0036351D"/>
    <w:rsid w:val="003760E6"/>
    <w:rsid w:val="00382587"/>
    <w:rsid w:val="00382746"/>
    <w:rsid w:val="00386154"/>
    <w:rsid w:val="00387067"/>
    <w:rsid w:val="0038759C"/>
    <w:rsid w:val="003878D6"/>
    <w:rsid w:val="0039099A"/>
    <w:rsid w:val="00392D60"/>
    <w:rsid w:val="00392FE1"/>
    <w:rsid w:val="00394A41"/>
    <w:rsid w:val="0039636E"/>
    <w:rsid w:val="00397857"/>
    <w:rsid w:val="003A49E0"/>
    <w:rsid w:val="003A5961"/>
    <w:rsid w:val="003A75A5"/>
    <w:rsid w:val="003B32BF"/>
    <w:rsid w:val="003B6D35"/>
    <w:rsid w:val="003C69BE"/>
    <w:rsid w:val="003C7409"/>
    <w:rsid w:val="003C7746"/>
    <w:rsid w:val="003D0CCB"/>
    <w:rsid w:val="003D2BEE"/>
    <w:rsid w:val="003E0828"/>
    <w:rsid w:val="003E0FF5"/>
    <w:rsid w:val="003E1FAF"/>
    <w:rsid w:val="003E602B"/>
    <w:rsid w:val="003E6635"/>
    <w:rsid w:val="003E703F"/>
    <w:rsid w:val="003F018B"/>
    <w:rsid w:val="004027CF"/>
    <w:rsid w:val="00404A87"/>
    <w:rsid w:val="00416539"/>
    <w:rsid w:val="0042041E"/>
    <w:rsid w:val="00420B12"/>
    <w:rsid w:val="0042175B"/>
    <w:rsid w:val="004243EA"/>
    <w:rsid w:val="0042607D"/>
    <w:rsid w:val="0042624D"/>
    <w:rsid w:val="00427FD0"/>
    <w:rsid w:val="0043042C"/>
    <w:rsid w:val="00430DB0"/>
    <w:rsid w:val="00432650"/>
    <w:rsid w:val="00433247"/>
    <w:rsid w:val="00435194"/>
    <w:rsid w:val="004477E4"/>
    <w:rsid w:val="00453801"/>
    <w:rsid w:val="004702D1"/>
    <w:rsid w:val="00480859"/>
    <w:rsid w:val="00481C2D"/>
    <w:rsid w:val="00490E4E"/>
    <w:rsid w:val="00493277"/>
    <w:rsid w:val="00493A1D"/>
    <w:rsid w:val="00493FEC"/>
    <w:rsid w:val="004A1648"/>
    <w:rsid w:val="004A5917"/>
    <w:rsid w:val="004B5E50"/>
    <w:rsid w:val="004C09A1"/>
    <w:rsid w:val="004C4014"/>
    <w:rsid w:val="004C7EC2"/>
    <w:rsid w:val="004D719C"/>
    <w:rsid w:val="004E4C03"/>
    <w:rsid w:val="004E6A20"/>
    <w:rsid w:val="004F17A3"/>
    <w:rsid w:val="004F4D2D"/>
    <w:rsid w:val="00510B96"/>
    <w:rsid w:val="00511F96"/>
    <w:rsid w:val="00513EFA"/>
    <w:rsid w:val="0052407A"/>
    <w:rsid w:val="005263F3"/>
    <w:rsid w:val="00527D69"/>
    <w:rsid w:val="00536C31"/>
    <w:rsid w:val="00536E71"/>
    <w:rsid w:val="00540E60"/>
    <w:rsid w:val="005431F4"/>
    <w:rsid w:val="005434F2"/>
    <w:rsid w:val="005452A8"/>
    <w:rsid w:val="005453F2"/>
    <w:rsid w:val="005467CD"/>
    <w:rsid w:val="00547E25"/>
    <w:rsid w:val="00555D2D"/>
    <w:rsid w:val="0055630A"/>
    <w:rsid w:val="00556492"/>
    <w:rsid w:val="00560444"/>
    <w:rsid w:val="005607DA"/>
    <w:rsid w:val="005609C5"/>
    <w:rsid w:val="005649E8"/>
    <w:rsid w:val="00566691"/>
    <w:rsid w:val="00566D4D"/>
    <w:rsid w:val="005728F8"/>
    <w:rsid w:val="00576F22"/>
    <w:rsid w:val="00577B19"/>
    <w:rsid w:val="0058239D"/>
    <w:rsid w:val="00583410"/>
    <w:rsid w:val="00585B02"/>
    <w:rsid w:val="00586F54"/>
    <w:rsid w:val="00591827"/>
    <w:rsid w:val="005A47E8"/>
    <w:rsid w:val="005B05F4"/>
    <w:rsid w:val="005B1EE4"/>
    <w:rsid w:val="005B472B"/>
    <w:rsid w:val="005B4B27"/>
    <w:rsid w:val="005B7D16"/>
    <w:rsid w:val="005C1D0D"/>
    <w:rsid w:val="005C2919"/>
    <w:rsid w:val="005C2BC8"/>
    <w:rsid w:val="005D4311"/>
    <w:rsid w:val="005E249C"/>
    <w:rsid w:val="005E29F7"/>
    <w:rsid w:val="005F36B3"/>
    <w:rsid w:val="005F73A2"/>
    <w:rsid w:val="0060730A"/>
    <w:rsid w:val="00617B06"/>
    <w:rsid w:val="00620F85"/>
    <w:rsid w:val="00624721"/>
    <w:rsid w:val="006262F2"/>
    <w:rsid w:val="00630C38"/>
    <w:rsid w:val="00631E9A"/>
    <w:rsid w:val="006326D2"/>
    <w:rsid w:val="006345E3"/>
    <w:rsid w:val="006358A5"/>
    <w:rsid w:val="006370F6"/>
    <w:rsid w:val="00637FB5"/>
    <w:rsid w:val="00640D15"/>
    <w:rsid w:val="006419A1"/>
    <w:rsid w:val="0064246A"/>
    <w:rsid w:val="00642A93"/>
    <w:rsid w:val="00642C5A"/>
    <w:rsid w:val="00647873"/>
    <w:rsid w:val="006641E9"/>
    <w:rsid w:val="00664EA1"/>
    <w:rsid w:val="006663A2"/>
    <w:rsid w:val="0067072A"/>
    <w:rsid w:val="0067354C"/>
    <w:rsid w:val="00677B32"/>
    <w:rsid w:val="00681B2F"/>
    <w:rsid w:val="0068211C"/>
    <w:rsid w:val="006830C5"/>
    <w:rsid w:val="00697937"/>
    <w:rsid w:val="006A412E"/>
    <w:rsid w:val="006A7369"/>
    <w:rsid w:val="006B09B8"/>
    <w:rsid w:val="006B0C1C"/>
    <w:rsid w:val="006B2BD6"/>
    <w:rsid w:val="006B59E3"/>
    <w:rsid w:val="006B7797"/>
    <w:rsid w:val="006C3FE6"/>
    <w:rsid w:val="006D388D"/>
    <w:rsid w:val="006D3984"/>
    <w:rsid w:val="006D41C7"/>
    <w:rsid w:val="006D5668"/>
    <w:rsid w:val="006E0430"/>
    <w:rsid w:val="006E34FA"/>
    <w:rsid w:val="006E5840"/>
    <w:rsid w:val="006F1B31"/>
    <w:rsid w:val="006F5F86"/>
    <w:rsid w:val="006F5FB5"/>
    <w:rsid w:val="006F645A"/>
    <w:rsid w:val="00702C8A"/>
    <w:rsid w:val="00711EAA"/>
    <w:rsid w:val="00713DFB"/>
    <w:rsid w:val="00721093"/>
    <w:rsid w:val="00722D24"/>
    <w:rsid w:val="0073040E"/>
    <w:rsid w:val="00735F78"/>
    <w:rsid w:val="00740735"/>
    <w:rsid w:val="00751E81"/>
    <w:rsid w:val="0075270D"/>
    <w:rsid w:val="00752A0A"/>
    <w:rsid w:val="00753359"/>
    <w:rsid w:val="00756607"/>
    <w:rsid w:val="007568C8"/>
    <w:rsid w:val="00762E7E"/>
    <w:rsid w:val="007633FB"/>
    <w:rsid w:val="0076405F"/>
    <w:rsid w:val="007644E5"/>
    <w:rsid w:val="00776D34"/>
    <w:rsid w:val="007841C5"/>
    <w:rsid w:val="007859CA"/>
    <w:rsid w:val="00786D20"/>
    <w:rsid w:val="00787771"/>
    <w:rsid w:val="00794D6B"/>
    <w:rsid w:val="0079581C"/>
    <w:rsid w:val="00797069"/>
    <w:rsid w:val="007A193B"/>
    <w:rsid w:val="007A27E1"/>
    <w:rsid w:val="007A31D6"/>
    <w:rsid w:val="007A628C"/>
    <w:rsid w:val="007A67BF"/>
    <w:rsid w:val="007B246A"/>
    <w:rsid w:val="007B304F"/>
    <w:rsid w:val="007B4907"/>
    <w:rsid w:val="007B6508"/>
    <w:rsid w:val="007B6515"/>
    <w:rsid w:val="007C14EC"/>
    <w:rsid w:val="007C16E3"/>
    <w:rsid w:val="007C265E"/>
    <w:rsid w:val="007C5E6F"/>
    <w:rsid w:val="007C60D6"/>
    <w:rsid w:val="007D124F"/>
    <w:rsid w:val="007D146C"/>
    <w:rsid w:val="007D1C54"/>
    <w:rsid w:val="007D25B7"/>
    <w:rsid w:val="007D3651"/>
    <w:rsid w:val="007D4A2E"/>
    <w:rsid w:val="007E4A88"/>
    <w:rsid w:val="007E6E52"/>
    <w:rsid w:val="007F0380"/>
    <w:rsid w:val="007F5EA7"/>
    <w:rsid w:val="007F6796"/>
    <w:rsid w:val="008032CC"/>
    <w:rsid w:val="00803D86"/>
    <w:rsid w:val="00807CD5"/>
    <w:rsid w:val="0081518F"/>
    <w:rsid w:val="0081609D"/>
    <w:rsid w:val="0082175C"/>
    <w:rsid w:val="0082249E"/>
    <w:rsid w:val="008243E9"/>
    <w:rsid w:val="00830162"/>
    <w:rsid w:val="0083060A"/>
    <w:rsid w:val="0083119C"/>
    <w:rsid w:val="00842F23"/>
    <w:rsid w:val="00843F32"/>
    <w:rsid w:val="00845793"/>
    <w:rsid w:val="00855FFA"/>
    <w:rsid w:val="00866D77"/>
    <w:rsid w:val="00870C17"/>
    <w:rsid w:val="008741F9"/>
    <w:rsid w:val="0087596B"/>
    <w:rsid w:val="00882C33"/>
    <w:rsid w:val="008911D0"/>
    <w:rsid w:val="008916E5"/>
    <w:rsid w:val="00893013"/>
    <w:rsid w:val="00895522"/>
    <w:rsid w:val="008A7384"/>
    <w:rsid w:val="008B43C0"/>
    <w:rsid w:val="008B5237"/>
    <w:rsid w:val="008B6A7D"/>
    <w:rsid w:val="008B7445"/>
    <w:rsid w:val="008C0452"/>
    <w:rsid w:val="008C2547"/>
    <w:rsid w:val="008C2E77"/>
    <w:rsid w:val="008C7F29"/>
    <w:rsid w:val="008D42E9"/>
    <w:rsid w:val="008D63E4"/>
    <w:rsid w:val="008D6866"/>
    <w:rsid w:val="008D78F1"/>
    <w:rsid w:val="008E2769"/>
    <w:rsid w:val="008E3EDA"/>
    <w:rsid w:val="008E7304"/>
    <w:rsid w:val="008E75DA"/>
    <w:rsid w:val="008F2A48"/>
    <w:rsid w:val="008F3430"/>
    <w:rsid w:val="00900493"/>
    <w:rsid w:val="00902443"/>
    <w:rsid w:val="009037C8"/>
    <w:rsid w:val="00912B0A"/>
    <w:rsid w:val="0091342A"/>
    <w:rsid w:val="009202C2"/>
    <w:rsid w:val="00920B99"/>
    <w:rsid w:val="009267D1"/>
    <w:rsid w:val="00933BF7"/>
    <w:rsid w:val="00937822"/>
    <w:rsid w:val="0094201C"/>
    <w:rsid w:val="0094438F"/>
    <w:rsid w:val="00945941"/>
    <w:rsid w:val="009558C6"/>
    <w:rsid w:val="009567F3"/>
    <w:rsid w:val="00967FE6"/>
    <w:rsid w:val="009700FF"/>
    <w:rsid w:val="00970D5A"/>
    <w:rsid w:val="00973E4A"/>
    <w:rsid w:val="00977E85"/>
    <w:rsid w:val="0098432C"/>
    <w:rsid w:val="00985FEE"/>
    <w:rsid w:val="00994635"/>
    <w:rsid w:val="00994D21"/>
    <w:rsid w:val="009A1288"/>
    <w:rsid w:val="009A7F6D"/>
    <w:rsid w:val="009B3506"/>
    <w:rsid w:val="009B4523"/>
    <w:rsid w:val="009B7256"/>
    <w:rsid w:val="009C1A6B"/>
    <w:rsid w:val="009C2534"/>
    <w:rsid w:val="009C3E56"/>
    <w:rsid w:val="009D03A3"/>
    <w:rsid w:val="009D1924"/>
    <w:rsid w:val="009D472D"/>
    <w:rsid w:val="009D7EF4"/>
    <w:rsid w:val="009E2BEE"/>
    <w:rsid w:val="009E359E"/>
    <w:rsid w:val="009E688D"/>
    <w:rsid w:val="009F18B8"/>
    <w:rsid w:val="009F7945"/>
    <w:rsid w:val="00A046C6"/>
    <w:rsid w:val="00A048EC"/>
    <w:rsid w:val="00A11254"/>
    <w:rsid w:val="00A13830"/>
    <w:rsid w:val="00A173F1"/>
    <w:rsid w:val="00A17BE5"/>
    <w:rsid w:val="00A2184C"/>
    <w:rsid w:val="00A263CB"/>
    <w:rsid w:val="00A27880"/>
    <w:rsid w:val="00A323A1"/>
    <w:rsid w:val="00A37071"/>
    <w:rsid w:val="00A40877"/>
    <w:rsid w:val="00A41719"/>
    <w:rsid w:val="00A50849"/>
    <w:rsid w:val="00A50901"/>
    <w:rsid w:val="00A609DD"/>
    <w:rsid w:val="00A6537B"/>
    <w:rsid w:val="00A65B31"/>
    <w:rsid w:val="00A73376"/>
    <w:rsid w:val="00A77919"/>
    <w:rsid w:val="00A83BEB"/>
    <w:rsid w:val="00A855E0"/>
    <w:rsid w:val="00A91F10"/>
    <w:rsid w:val="00A963CA"/>
    <w:rsid w:val="00A970E4"/>
    <w:rsid w:val="00AA0BBD"/>
    <w:rsid w:val="00AA1069"/>
    <w:rsid w:val="00AA55DC"/>
    <w:rsid w:val="00AB3032"/>
    <w:rsid w:val="00AB605A"/>
    <w:rsid w:val="00AB68F5"/>
    <w:rsid w:val="00AB7F9C"/>
    <w:rsid w:val="00AC5799"/>
    <w:rsid w:val="00AC6DAA"/>
    <w:rsid w:val="00AD233C"/>
    <w:rsid w:val="00AE197B"/>
    <w:rsid w:val="00AE3A95"/>
    <w:rsid w:val="00AE569C"/>
    <w:rsid w:val="00AF1220"/>
    <w:rsid w:val="00AF4FE6"/>
    <w:rsid w:val="00B00042"/>
    <w:rsid w:val="00B040D3"/>
    <w:rsid w:val="00B10778"/>
    <w:rsid w:val="00B1632A"/>
    <w:rsid w:val="00B21A11"/>
    <w:rsid w:val="00B23754"/>
    <w:rsid w:val="00B24621"/>
    <w:rsid w:val="00B34571"/>
    <w:rsid w:val="00B3510B"/>
    <w:rsid w:val="00B361EC"/>
    <w:rsid w:val="00B44CBA"/>
    <w:rsid w:val="00B477BE"/>
    <w:rsid w:val="00B60394"/>
    <w:rsid w:val="00B60C82"/>
    <w:rsid w:val="00B63DEF"/>
    <w:rsid w:val="00B7241D"/>
    <w:rsid w:val="00B755E3"/>
    <w:rsid w:val="00B80A66"/>
    <w:rsid w:val="00B81D50"/>
    <w:rsid w:val="00B866BA"/>
    <w:rsid w:val="00B93CB9"/>
    <w:rsid w:val="00BA272B"/>
    <w:rsid w:val="00BB2D40"/>
    <w:rsid w:val="00BB7265"/>
    <w:rsid w:val="00BC01D8"/>
    <w:rsid w:val="00BC0257"/>
    <w:rsid w:val="00BC07EB"/>
    <w:rsid w:val="00BC2EA1"/>
    <w:rsid w:val="00BD0C6E"/>
    <w:rsid w:val="00BE35B8"/>
    <w:rsid w:val="00BE3BBC"/>
    <w:rsid w:val="00BF02E1"/>
    <w:rsid w:val="00BF0D8B"/>
    <w:rsid w:val="00BF7292"/>
    <w:rsid w:val="00C027AE"/>
    <w:rsid w:val="00C045D9"/>
    <w:rsid w:val="00C05ECB"/>
    <w:rsid w:val="00C10C72"/>
    <w:rsid w:val="00C160D3"/>
    <w:rsid w:val="00C204BF"/>
    <w:rsid w:val="00C24592"/>
    <w:rsid w:val="00C31F3F"/>
    <w:rsid w:val="00C32344"/>
    <w:rsid w:val="00C34D62"/>
    <w:rsid w:val="00C37067"/>
    <w:rsid w:val="00C37B0E"/>
    <w:rsid w:val="00C41000"/>
    <w:rsid w:val="00C4298B"/>
    <w:rsid w:val="00C53DB8"/>
    <w:rsid w:val="00C604CA"/>
    <w:rsid w:val="00C617A8"/>
    <w:rsid w:val="00C6441B"/>
    <w:rsid w:val="00C75B9D"/>
    <w:rsid w:val="00C77EC4"/>
    <w:rsid w:val="00C8122C"/>
    <w:rsid w:val="00C8742E"/>
    <w:rsid w:val="00C92CF7"/>
    <w:rsid w:val="00C977CE"/>
    <w:rsid w:val="00CA4272"/>
    <w:rsid w:val="00CA5225"/>
    <w:rsid w:val="00CB65E5"/>
    <w:rsid w:val="00CC22D2"/>
    <w:rsid w:val="00CC4BA7"/>
    <w:rsid w:val="00CC7B2E"/>
    <w:rsid w:val="00CD2939"/>
    <w:rsid w:val="00CD4422"/>
    <w:rsid w:val="00CD5669"/>
    <w:rsid w:val="00CD77A0"/>
    <w:rsid w:val="00CE3FEF"/>
    <w:rsid w:val="00CE7655"/>
    <w:rsid w:val="00CF2253"/>
    <w:rsid w:val="00D0190B"/>
    <w:rsid w:val="00D026EF"/>
    <w:rsid w:val="00D05460"/>
    <w:rsid w:val="00D06EAD"/>
    <w:rsid w:val="00D070A7"/>
    <w:rsid w:val="00D078AD"/>
    <w:rsid w:val="00D11633"/>
    <w:rsid w:val="00D12F5D"/>
    <w:rsid w:val="00D135E8"/>
    <w:rsid w:val="00D173DB"/>
    <w:rsid w:val="00D21110"/>
    <w:rsid w:val="00D26243"/>
    <w:rsid w:val="00D307DF"/>
    <w:rsid w:val="00D37954"/>
    <w:rsid w:val="00D41A14"/>
    <w:rsid w:val="00D44674"/>
    <w:rsid w:val="00D47C83"/>
    <w:rsid w:val="00D47E2C"/>
    <w:rsid w:val="00D50249"/>
    <w:rsid w:val="00D61021"/>
    <w:rsid w:val="00D6210A"/>
    <w:rsid w:val="00D6451E"/>
    <w:rsid w:val="00D65259"/>
    <w:rsid w:val="00D72333"/>
    <w:rsid w:val="00D740A8"/>
    <w:rsid w:val="00D75672"/>
    <w:rsid w:val="00D756A6"/>
    <w:rsid w:val="00D76EDE"/>
    <w:rsid w:val="00D80B41"/>
    <w:rsid w:val="00D86C4E"/>
    <w:rsid w:val="00D91A90"/>
    <w:rsid w:val="00D9377A"/>
    <w:rsid w:val="00D94605"/>
    <w:rsid w:val="00D95ABE"/>
    <w:rsid w:val="00DB465B"/>
    <w:rsid w:val="00DC19C5"/>
    <w:rsid w:val="00DC2F3B"/>
    <w:rsid w:val="00DC5545"/>
    <w:rsid w:val="00DC6DE1"/>
    <w:rsid w:val="00DC7714"/>
    <w:rsid w:val="00DC7802"/>
    <w:rsid w:val="00DC7C02"/>
    <w:rsid w:val="00DD1DFF"/>
    <w:rsid w:val="00DD416A"/>
    <w:rsid w:val="00DD679C"/>
    <w:rsid w:val="00DD7C1B"/>
    <w:rsid w:val="00DD7F67"/>
    <w:rsid w:val="00DE0E07"/>
    <w:rsid w:val="00DE5788"/>
    <w:rsid w:val="00DE732F"/>
    <w:rsid w:val="00DE7F74"/>
    <w:rsid w:val="00DF5C6D"/>
    <w:rsid w:val="00E011E6"/>
    <w:rsid w:val="00E03406"/>
    <w:rsid w:val="00E05A32"/>
    <w:rsid w:val="00E06CFB"/>
    <w:rsid w:val="00E10182"/>
    <w:rsid w:val="00E1142A"/>
    <w:rsid w:val="00E17C80"/>
    <w:rsid w:val="00E21CC3"/>
    <w:rsid w:val="00E21FBA"/>
    <w:rsid w:val="00E25C46"/>
    <w:rsid w:val="00E307F0"/>
    <w:rsid w:val="00E37AD6"/>
    <w:rsid w:val="00E41E56"/>
    <w:rsid w:val="00E446E7"/>
    <w:rsid w:val="00E47A2D"/>
    <w:rsid w:val="00E5405E"/>
    <w:rsid w:val="00E577F5"/>
    <w:rsid w:val="00E6054E"/>
    <w:rsid w:val="00E60905"/>
    <w:rsid w:val="00E834D0"/>
    <w:rsid w:val="00E84B01"/>
    <w:rsid w:val="00E931A6"/>
    <w:rsid w:val="00E93D2D"/>
    <w:rsid w:val="00E966EA"/>
    <w:rsid w:val="00EA1B21"/>
    <w:rsid w:val="00EA57FF"/>
    <w:rsid w:val="00EC0537"/>
    <w:rsid w:val="00EC32DA"/>
    <w:rsid w:val="00EC4AF0"/>
    <w:rsid w:val="00EC4DC0"/>
    <w:rsid w:val="00ED1A4E"/>
    <w:rsid w:val="00EE257B"/>
    <w:rsid w:val="00EF2B05"/>
    <w:rsid w:val="00EF3F48"/>
    <w:rsid w:val="00EF470B"/>
    <w:rsid w:val="00EF73FE"/>
    <w:rsid w:val="00F016EC"/>
    <w:rsid w:val="00F06FC3"/>
    <w:rsid w:val="00F11024"/>
    <w:rsid w:val="00F148A7"/>
    <w:rsid w:val="00F15873"/>
    <w:rsid w:val="00F15D90"/>
    <w:rsid w:val="00F1638A"/>
    <w:rsid w:val="00F165E2"/>
    <w:rsid w:val="00F17763"/>
    <w:rsid w:val="00F230FE"/>
    <w:rsid w:val="00F24483"/>
    <w:rsid w:val="00F25822"/>
    <w:rsid w:val="00F33240"/>
    <w:rsid w:val="00F33513"/>
    <w:rsid w:val="00F356F3"/>
    <w:rsid w:val="00F35EAE"/>
    <w:rsid w:val="00F43708"/>
    <w:rsid w:val="00F4478B"/>
    <w:rsid w:val="00F44DD2"/>
    <w:rsid w:val="00F47D9E"/>
    <w:rsid w:val="00F50EC5"/>
    <w:rsid w:val="00F5745A"/>
    <w:rsid w:val="00F65369"/>
    <w:rsid w:val="00F71B5E"/>
    <w:rsid w:val="00F71F5D"/>
    <w:rsid w:val="00F74A77"/>
    <w:rsid w:val="00F83F59"/>
    <w:rsid w:val="00F84024"/>
    <w:rsid w:val="00FA64E2"/>
    <w:rsid w:val="00FB3534"/>
    <w:rsid w:val="00FB49FE"/>
    <w:rsid w:val="00FC09C3"/>
    <w:rsid w:val="00FC0C83"/>
    <w:rsid w:val="00FC4212"/>
    <w:rsid w:val="00FC47B8"/>
    <w:rsid w:val="00FC7049"/>
    <w:rsid w:val="00FE1712"/>
    <w:rsid w:val="00FE3A5C"/>
    <w:rsid w:val="00FE3E3D"/>
    <w:rsid w:val="00FF06BB"/>
    <w:rsid w:val="00FF181E"/>
    <w:rsid w:val="00FF2717"/>
    <w:rsid w:val="00FF2D94"/>
    <w:rsid w:val="00FF59B5"/>
    <w:rsid w:val="00FF70D2"/>
    <w:rsid w:val="017512C5"/>
    <w:rsid w:val="3DAE5928"/>
    <w:rsid w:val="640062A6"/>
    <w:rsid w:val="78005A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33"/>
    <w:qFormat/>
    <w:uiPriority w:val="0"/>
    <w:pPr>
      <w:spacing w:line="560" w:lineRule="exact"/>
      <w:ind w:firstLine="645"/>
    </w:pPr>
    <w:rPr>
      <w:rFonts w:ascii="仿宋" w:hAnsi="Times New Roman"/>
      <w:szCs w:val="32"/>
    </w:rPr>
  </w:style>
  <w:style w:type="paragraph" w:styleId="5">
    <w:name w:val="Date"/>
    <w:basedOn w:val="1"/>
    <w:next w:val="1"/>
    <w:link w:val="35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10"/>
    <w:uiPriority w:val="0"/>
  </w:style>
  <w:style w:type="character" w:customStyle="1" w:styleId="18">
    <w:name w:val="font"/>
    <w:basedOn w:val="10"/>
    <w:uiPriority w:val="0"/>
  </w:style>
  <w:style w:type="character" w:customStyle="1" w:styleId="19">
    <w:name w:val="bigger"/>
    <w:basedOn w:val="10"/>
    <w:uiPriority w:val="0"/>
  </w:style>
  <w:style w:type="character" w:customStyle="1" w:styleId="20">
    <w:name w:val="medium"/>
    <w:basedOn w:val="10"/>
    <w:uiPriority w:val="0"/>
  </w:style>
  <w:style w:type="character" w:customStyle="1" w:styleId="21">
    <w:name w:val="smaller"/>
    <w:basedOn w:val="10"/>
    <w:uiPriority w:val="0"/>
  </w:style>
  <w:style w:type="character" w:customStyle="1" w:styleId="22">
    <w:name w:val="gwds_more"/>
    <w:basedOn w:val="10"/>
    <w:uiPriority w:val="0"/>
  </w:style>
  <w:style w:type="character" w:customStyle="1" w:styleId="23">
    <w:name w:val="页眉 Char"/>
    <w:basedOn w:val="10"/>
    <w:link w:val="8"/>
    <w:uiPriority w:val="99"/>
    <w:rPr>
      <w:kern w:val="2"/>
      <w:sz w:val="18"/>
      <w:szCs w:val="18"/>
    </w:rPr>
  </w:style>
  <w:style w:type="character" w:customStyle="1" w:styleId="24">
    <w:name w:val="页脚 Char"/>
    <w:basedOn w:val="10"/>
    <w:link w:val="7"/>
    <w:uiPriority w:val="99"/>
    <w:rPr>
      <w:kern w:val="2"/>
      <w:sz w:val="18"/>
      <w:szCs w:val="18"/>
    </w:rPr>
  </w:style>
  <w:style w:type="paragraph" w:customStyle="1" w:styleId="25">
    <w:name w:val="cardlist-valu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cardlist-na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7">
    <w:name w:val="doc_title"/>
    <w:basedOn w:val="10"/>
    <w:uiPriority w:val="0"/>
  </w:style>
  <w:style w:type="character" w:customStyle="1" w:styleId="28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9">
    <w:name w:val="标题1"/>
    <w:basedOn w:val="10"/>
    <w:uiPriority w:val="0"/>
  </w:style>
  <w:style w:type="character" w:customStyle="1" w:styleId="30">
    <w:name w:val="txt12"/>
    <w:basedOn w:val="10"/>
    <w:uiPriority w:val="0"/>
  </w:style>
  <w:style w:type="character" w:customStyle="1" w:styleId="31">
    <w:name w:val="日期1"/>
    <w:basedOn w:val="10"/>
    <w:uiPriority w:val="0"/>
  </w:style>
  <w:style w:type="character" w:customStyle="1" w:styleId="32">
    <w:name w:val="批注框文本 Char"/>
    <w:basedOn w:val="10"/>
    <w:link w:val="6"/>
    <w:semiHidden/>
    <w:uiPriority w:val="99"/>
    <w:rPr>
      <w:rFonts w:eastAsia="仿宋"/>
      <w:kern w:val="2"/>
      <w:sz w:val="18"/>
      <w:szCs w:val="18"/>
    </w:rPr>
  </w:style>
  <w:style w:type="character" w:customStyle="1" w:styleId="33">
    <w:name w:val="正文文本缩进 Char"/>
    <w:basedOn w:val="10"/>
    <w:link w:val="4"/>
    <w:uiPriority w:val="0"/>
    <w:rPr>
      <w:rFonts w:ascii="仿宋" w:hAnsi="Times New Roman" w:eastAsia="仿宋"/>
      <w:kern w:val="2"/>
      <w:sz w:val="32"/>
      <w:szCs w:val="32"/>
    </w:rPr>
  </w:style>
  <w:style w:type="paragraph" w:styleId="3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日期 Char"/>
    <w:basedOn w:val="10"/>
    <w:link w:val="5"/>
    <w:semiHidden/>
    <w:uiPriority w:val="99"/>
    <w:rPr>
      <w:rFonts w:eastAsia="仿宋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50807-DACF-45C2-BA80-444C0DE6AD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22</Pages>
  <Words>1790</Words>
  <Characters>10208</Characters>
  <Lines>85</Lines>
  <Paragraphs>23</Paragraphs>
  <TotalTime>1241</TotalTime>
  <ScaleCrop>false</ScaleCrop>
  <LinksUpToDate>false</LinksUpToDate>
  <CharactersWithSpaces>11975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2019-07-31T00:52:00Z</dcterms:created>
  <dc:creator>mycomputer</dc:creator>
  <cp:lastModifiedBy>晴天1417358601</cp:lastModifiedBy>
  <cp:lastPrinted>2019-08-19T01:13:00Z</cp:lastPrinted>
  <dcterms:modified xsi:type="dcterms:W3CDTF">2020-03-31T01:02:58Z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